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6AD" w:rsidRDefault="00FF26AD" w:rsidP="00687BFD">
      <w:pPr>
        <w:jc w:val="both"/>
        <w:rPr>
          <w:rFonts w:ascii="Century Gothic" w:hAnsi="Century Gothic"/>
          <w:b/>
          <w:color w:val="0070C0"/>
        </w:rPr>
      </w:pPr>
      <w:bookmarkStart w:id="0" w:name="_GoBack"/>
      <w:bookmarkEnd w:id="0"/>
    </w:p>
    <w:p w:rsidR="00FF26AD" w:rsidRDefault="00FF26AD" w:rsidP="00687BFD">
      <w:pPr>
        <w:jc w:val="both"/>
        <w:rPr>
          <w:rFonts w:ascii="Century Gothic" w:hAnsi="Century Gothic"/>
          <w:b/>
          <w:color w:val="0070C0"/>
        </w:rPr>
      </w:pPr>
    </w:p>
    <w:p w:rsidR="00FF26AD" w:rsidRDefault="00FF26AD" w:rsidP="00687BFD">
      <w:pPr>
        <w:jc w:val="both"/>
        <w:rPr>
          <w:rFonts w:ascii="Century Gothic" w:hAnsi="Century Gothic"/>
          <w:b/>
          <w:color w:val="0070C0"/>
        </w:rPr>
      </w:pPr>
    </w:p>
    <w:p w:rsidR="00FF26AD" w:rsidRDefault="00FF26AD" w:rsidP="00687BFD">
      <w:pPr>
        <w:jc w:val="both"/>
        <w:rPr>
          <w:rFonts w:ascii="Century Gothic" w:hAnsi="Century Gothic"/>
          <w:b/>
          <w:color w:val="0070C0"/>
        </w:rPr>
      </w:pPr>
    </w:p>
    <w:p w:rsidR="00FF26AD" w:rsidRDefault="00FF26AD" w:rsidP="00687BFD">
      <w:pPr>
        <w:jc w:val="both"/>
        <w:rPr>
          <w:rFonts w:ascii="Century Gothic" w:hAnsi="Century Gothic"/>
          <w:b/>
          <w:color w:val="0070C0"/>
        </w:rPr>
      </w:pPr>
    </w:p>
    <w:p w:rsidR="00FF26AD" w:rsidRDefault="00FF26AD" w:rsidP="00687BFD">
      <w:pPr>
        <w:jc w:val="both"/>
        <w:rPr>
          <w:rFonts w:ascii="Century Gothic" w:hAnsi="Century Gothic"/>
          <w:b/>
          <w:color w:val="0070C0"/>
        </w:rPr>
      </w:pPr>
    </w:p>
    <w:p w:rsidR="00FF26AD" w:rsidRDefault="00FF26AD" w:rsidP="00687BFD">
      <w:pPr>
        <w:jc w:val="both"/>
        <w:rPr>
          <w:rFonts w:ascii="Century Gothic" w:hAnsi="Century Gothic"/>
          <w:b/>
          <w:color w:val="0070C0"/>
        </w:rPr>
      </w:pPr>
    </w:p>
    <w:p w:rsidR="00FF26AD" w:rsidRDefault="00FF26AD" w:rsidP="00687BFD">
      <w:pPr>
        <w:tabs>
          <w:tab w:val="left" w:pos="6422"/>
        </w:tabs>
        <w:jc w:val="both"/>
        <w:rPr>
          <w:rFonts w:ascii="Century Gothic" w:hAnsi="Century Gothic"/>
          <w:b/>
          <w:color w:val="0070C0"/>
        </w:rPr>
      </w:pPr>
      <w:r>
        <w:rPr>
          <w:rFonts w:ascii="Century Gothic" w:hAnsi="Century Gothic"/>
          <w:b/>
          <w:color w:val="0070C0"/>
        </w:rPr>
        <w:tab/>
      </w:r>
    </w:p>
    <w:p w:rsidR="00FF26AD" w:rsidRDefault="00FF26AD" w:rsidP="00687BFD">
      <w:pPr>
        <w:jc w:val="both"/>
        <w:rPr>
          <w:rFonts w:ascii="Century Gothic" w:hAnsi="Century Gothic"/>
          <w:b/>
          <w:color w:val="0070C0"/>
        </w:rPr>
      </w:pPr>
    </w:p>
    <w:p w:rsidR="00FF26AD" w:rsidRDefault="00FF26AD" w:rsidP="00687BFD">
      <w:pPr>
        <w:jc w:val="both"/>
        <w:rPr>
          <w:rFonts w:ascii="Century Gothic" w:hAnsi="Century Gothic"/>
          <w:b/>
          <w:color w:val="008080"/>
        </w:rPr>
      </w:pPr>
    </w:p>
    <w:p w:rsidR="00FF26AD" w:rsidRDefault="00FF26AD" w:rsidP="00687BFD">
      <w:pPr>
        <w:jc w:val="both"/>
        <w:rPr>
          <w:rFonts w:ascii="Century Gothic" w:hAnsi="Century Gothic"/>
          <w:b/>
          <w:color w:val="008080"/>
        </w:rPr>
      </w:pPr>
    </w:p>
    <w:p w:rsidR="00FF26AD" w:rsidRDefault="00FF26AD" w:rsidP="00687BFD">
      <w:pPr>
        <w:jc w:val="both"/>
        <w:rPr>
          <w:rFonts w:ascii="Century Gothic" w:hAnsi="Century Gothic"/>
          <w:b/>
          <w:color w:val="008080"/>
        </w:rPr>
      </w:pPr>
    </w:p>
    <w:p w:rsidR="00FF26AD" w:rsidRDefault="00FF26AD" w:rsidP="00687BFD">
      <w:pPr>
        <w:jc w:val="both"/>
        <w:rPr>
          <w:rFonts w:ascii="Century Gothic" w:hAnsi="Century Gothic"/>
          <w:b/>
          <w:color w:val="008080"/>
        </w:rPr>
      </w:pPr>
    </w:p>
    <w:p w:rsidR="00FF26AD" w:rsidRDefault="00FF26AD" w:rsidP="00687BFD">
      <w:pPr>
        <w:jc w:val="both"/>
        <w:rPr>
          <w:rFonts w:ascii="Century Gothic" w:hAnsi="Century Gothic"/>
          <w:b/>
          <w:color w:val="008080"/>
        </w:rPr>
      </w:pPr>
    </w:p>
    <w:p w:rsidR="00FF26AD" w:rsidRDefault="00FF26AD" w:rsidP="00687BFD">
      <w:pPr>
        <w:jc w:val="both"/>
        <w:rPr>
          <w:rFonts w:ascii="Century Gothic" w:hAnsi="Century Gothic"/>
          <w:b/>
          <w:color w:val="008080"/>
        </w:rPr>
      </w:pPr>
    </w:p>
    <w:p w:rsidR="00FF26AD" w:rsidRPr="00C7281C" w:rsidRDefault="006560C7" w:rsidP="00687BFD">
      <w:pPr>
        <w:jc w:val="both"/>
        <w:rPr>
          <w:b/>
          <w:color w:val="ED7D31"/>
          <w:sz w:val="40"/>
        </w:rPr>
      </w:pPr>
      <w:r w:rsidRPr="00C7281C">
        <w:rPr>
          <w:b/>
          <w:color w:val="ED7D31"/>
          <w:sz w:val="40"/>
        </w:rPr>
        <w:t>POLÍTICA DE INVESTIMENTOS</w:t>
      </w:r>
      <w:r w:rsidR="00D71000" w:rsidRPr="00C7281C">
        <w:rPr>
          <w:b/>
          <w:color w:val="ED7D31"/>
          <w:sz w:val="40"/>
        </w:rPr>
        <w:t xml:space="preserve"> 2017</w:t>
      </w:r>
    </w:p>
    <w:p w:rsidR="00FF26AD" w:rsidRPr="00C7281C" w:rsidRDefault="002B719F" w:rsidP="00687BFD">
      <w:pPr>
        <w:jc w:val="both"/>
        <w:rPr>
          <w:b/>
          <w:color w:val="ED7D31"/>
          <w:sz w:val="20"/>
        </w:rPr>
      </w:pPr>
      <w:r w:rsidRPr="002B719F">
        <w:rPr>
          <w:color w:val="ED7D31"/>
        </w:rPr>
        <w:t>INSTITUTO DE PREVIDÊNCIA DO SERVIDOR MUNICIPAL DE TAQUARITINGA</w:t>
      </w:r>
    </w:p>
    <w:p w:rsidR="00D81DF8" w:rsidRDefault="00D81DF8" w:rsidP="00687BFD">
      <w:pPr>
        <w:rPr>
          <w:b/>
          <w:color w:val="008080"/>
          <w:sz w:val="20"/>
        </w:rPr>
      </w:pPr>
      <w:r>
        <w:rPr>
          <w:b/>
          <w:color w:val="008080"/>
          <w:sz w:val="20"/>
        </w:rPr>
        <w:br w:type="page"/>
      </w:r>
    </w:p>
    <w:p w:rsidR="00D81DF8" w:rsidRPr="001A464C" w:rsidRDefault="00D81DF8" w:rsidP="001A464C">
      <w:pPr>
        <w:spacing w:beforeLines="120" w:before="288" w:after="0" w:line="240" w:lineRule="auto"/>
        <w:jc w:val="both"/>
        <w:rPr>
          <w:rFonts w:asciiTheme="majorHAnsi" w:hAnsiTheme="majorHAnsi"/>
          <w:b/>
          <w:color w:val="008080"/>
          <w:sz w:val="20"/>
          <w:szCs w:val="20"/>
        </w:rPr>
      </w:pPr>
    </w:p>
    <w:sdt>
      <w:sdtPr>
        <w:rPr>
          <w:rFonts w:asciiTheme="minorHAnsi" w:eastAsiaTheme="minorHAnsi" w:hAnsiTheme="minorHAnsi" w:cstheme="minorBidi"/>
          <w:bCs/>
          <w:color w:val="7F7F7F" w:themeColor="text1" w:themeTint="80"/>
          <w:sz w:val="22"/>
          <w:szCs w:val="22"/>
          <w:lang w:eastAsia="en-US"/>
        </w:rPr>
        <w:id w:val="1261562148"/>
        <w:docPartObj>
          <w:docPartGallery w:val="Table of Contents"/>
          <w:docPartUnique/>
        </w:docPartObj>
      </w:sdtPr>
      <w:sdtEndPr>
        <w:rPr>
          <w:b/>
          <w:color w:val="auto"/>
          <w:sz w:val="20"/>
          <w:szCs w:val="20"/>
        </w:rPr>
      </w:sdtEndPr>
      <w:sdtContent>
        <w:p w:rsidR="00CC3E23" w:rsidRPr="00C7281C" w:rsidRDefault="00CC3E23" w:rsidP="001A464C">
          <w:pPr>
            <w:pStyle w:val="CabealhodoSumrio"/>
            <w:spacing w:beforeLines="120" w:before="288" w:line="240" w:lineRule="auto"/>
            <w:jc w:val="center"/>
            <w:rPr>
              <w:rFonts w:asciiTheme="minorHAnsi" w:hAnsiTheme="minorHAnsi"/>
              <w:b/>
              <w:color w:val="ED7D31"/>
              <w:sz w:val="24"/>
              <w:szCs w:val="22"/>
              <w:u w:val="single"/>
              <w:lang w:eastAsia="en-US"/>
            </w:rPr>
          </w:pPr>
          <w:r w:rsidRPr="00C7281C">
            <w:rPr>
              <w:rFonts w:asciiTheme="minorHAnsi" w:hAnsiTheme="minorHAnsi"/>
              <w:b/>
              <w:color w:val="ED7D31"/>
              <w:sz w:val="24"/>
              <w:szCs w:val="22"/>
              <w:u w:val="single"/>
              <w:lang w:eastAsia="en-US"/>
            </w:rPr>
            <w:t>SUMÁRIO</w:t>
          </w:r>
        </w:p>
        <w:p w:rsidR="001A464C" w:rsidRPr="00DA46DB" w:rsidRDefault="001A464C" w:rsidP="001A464C"/>
        <w:p w:rsidR="00815C55" w:rsidRDefault="00CC3E23">
          <w:pPr>
            <w:pStyle w:val="Sumrio1"/>
            <w:tabs>
              <w:tab w:val="left" w:pos="440"/>
              <w:tab w:val="right" w:leader="dot" w:pos="8494"/>
            </w:tabs>
            <w:rPr>
              <w:rFonts w:eastAsiaTheme="minorEastAsia"/>
              <w:noProof/>
              <w:lang w:eastAsia="pt-BR"/>
            </w:rPr>
          </w:pPr>
          <w:r w:rsidRPr="00DA46DB">
            <w:rPr>
              <w:bCs/>
              <w:color w:val="7F7F7F" w:themeColor="text1" w:themeTint="80"/>
            </w:rPr>
            <w:fldChar w:fldCharType="begin"/>
          </w:r>
          <w:r w:rsidRPr="00DA46DB">
            <w:rPr>
              <w:bCs/>
              <w:color w:val="7F7F7F" w:themeColor="text1" w:themeTint="80"/>
            </w:rPr>
            <w:instrText xml:space="preserve"> TOC \o "1-3" \h \z \u </w:instrText>
          </w:r>
          <w:r w:rsidRPr="00DA46DB">
            <w:rPr>
              <w:bCs/>
              <w:color w:val="7F7F7F" w:themeColor="text1" w:themeTint="80"/>
            </w:rPr>
            <w:fldChar w:fldCharType="separate"/>
          </w:r>
          <w:hyperlink w:anchor="_Toc467598716" w:history="1">
            <w:r w:rsidR="00815C55" w:rsidRPr="00D31853">
              <w:rPr>
                <w:rStyle w:val="Hyperlink"/>
                <w:rFonts w:asciiTheme="majorHAnsi" w:hAnsiTheme="majorHAnsi"/>
                <w:noProof/>
              </w:rPr>
              <w:t>1.</w:t>
            </w:r>
            <w:r w:rsidR="00815C55">
              <w:rPr>
                <w:rFonts w:eastAsiaTheme="minorEastAsia"/>
                <w:noProof/>
                <w:lang w:eastAsia="pt-BR"/>
              </w:rPr>
              <w:tab/>
            </w:r>
            <w:r w:rsidR="00815C55" w:rsidRPr="00D31853">
              <w:rPr>
                <w:rStyle w:val="Hyperlink"/>
                <w:rFonts w:asciiTheme="majorHAnsi" w:hAnsiTheme="majorHAnsi"/>
                <w:noProof/>
              </w:rPr>
              <w:t>INTRODUÇÃO</w:t>
            </w:r>
            <w:r w:rsidR="00815C55">
              <w:rPr>
                <w:noProof/>
                <w:webHidden/>
              </w:rPr>
              <w:tab/>
            </w:r>
            <w:r w:rsidR="00815C55">
              <w:rPr>
                <w:noProof/>
                <w:webHidden/>
              </w:rPr>
              <w:fldChar w:fldCharType="begin"/>
            </w:r>
            <w:r w:rsidR="00815C55">
              <w:rPr>
                <w:noProof/>
                <w:webHidden/>
              </w:rPr>
              <w:instrText xml:space="preserve"> PAGEREF _Toc467598716 \h </w:instrText>
            </w:r>
            <w:r w:rsidR="00815C55">
              <w:rPr>
                <w:noProof/>
                <w:webHidden/>
              </w:rPr>
            </w:r>
            <w:r w:rsidR="00815C55">
              <w:rPr>
                <w:noProof/>
                <w:webHidden/>
              </w:rPr>
              <w:fldChar w:fldCharType="separate"/>
            </w:r>
            <w:r w:rsidR="00815C55">
              <w:rPr>
                <w:noProof/>
                <w:webHidden/>
              </w:rPr>
              <w:t>3</w:t>
            </w:r>
            <w:r w:rsidR="00815C55">
              <w:rPr>
                <w:noProof/>
                <w:webHidden/>
              </w:rPr>
              <w:fldChar w:fldCharType="end"/>
            </w:r>
          </w:hyperlink>
        </w:p>
        <w:p w:rsidR="00815C55" w:rsidRDefault="00545C60">
          <w:pPr>
            <w:pStyle w:val="Sumrio1"/>
            <w:tabs>
              <w:tab w:val="left" w:pos="440"/>
              <w:tab w:val="right" w:leader="dot" w:pos="8494"/>
            </w:tabs>
            <w:rPr>
              <w:rFonts w:eastAsiaTheme="minorEastAsia"/>
              <w:noProof/>
              <w:lang w:eastAsia="pt-BR"/>
            </w:rPr>
          </w:pPr>
          <w:hyperlink w:anchor="_Toc467598717" w:history="1">
            <w:r w:rsidR="00815C55" w:rsidRPr="00D31853">
              <w:rPr>
                <w:rStyle w:val="Hyperlink"/>
                <w:rFonts w:asciiTheme="majorHAnsi" w:hAnsiTheme="majorHAnsi"/>
                <w:noProof/>
              </w:rPr>
              <w:t>2.</w:t>
            </w:r>
            <w:r w:rsidR="00815C55">
              <w:rPr>
                <w:rFonts w:eastAsiaTheme="minorEastAsia"/>
                <w:noProof/>
                <w:lang w:eastAsia="pt-BR"/>
              </w:rPr>
              <w:tab/>
            </w:r>
            <w:r w:rsidR="00815C55" w:rsidRPr="00D31853">
              <w:rPr>
                <w:rStyle w:val="Hyperlink"/>
                <w:rFonts w:asciiTheme="majorHAnsi" w:hAnsiTheme="majorHAnsi"/>
                <w:noProof/>
              </w:rPr>
              <w:t>OBJETIVO</w:t>
            </w:r>
            <w:r w:rsidR="00815C55">
              <w:rPr>
                <w:noProof/>
                <w:webHidden/>
              </w:rPr>
              <w:tab/>
            </w:r>
            <w:r w:rsidR="00815C55">
              <w:rPr>
                <w:noProof/>
                <w:webHidden/>
              </w:rPr>
              <w:fldChar w:fldCharType="begin"/>
            </w:r>
            <w:r w:rsidR="00815C55">
              <w:rPr>
                <w:noProof/>
                <w:webHidden/>
              </w:rPr>
              <w:instrText xml:space="preserve"> PAGEREF _Toc467598717 \h </w:instrText>
            </w:r>
            <w:r w:rsidR="00815C55">
              <w:rPr>
                <w:noProof/>
                <w:webHidden/>
              </w:rPr>
            </w:r>
            <w:r w:rsidR="00815C55">
              <w:rPr>
                <w:noProof/>
                <w:webHidden/>
              </w:rPr>
              <w:fldChar w:fldCharType="separate"/>
            </w:r>
            <w:r w:rsidR="00815C55">
              <w:rPr>
                <w:noProof/>
                <w:webHidden/>
              </w:rPr>
              <w:t>3</w:t>
            </w:r>
            <w:r w:rsidR="00815C55">
              <w:rPr>
                <w:noProof/>
                <w:webHidden/>
              </w:rPr>
              <w:fldChar w:fldCharType="end"/>
            </w:r>
          </w:hyperlink>
        </w:p>
        <w:p w:rsidR="00815C55" w:rsidRDefault="00545C60">
          <w:pPr>
            <w:pStyle w:val="Sumrio1"/>
            <w:tabs>
              <w:tab w:val="left" w:pos="440"/>
              <w:tab w:val="right" w:leader="dot" w:pos="8494"/>
            </w:tabs>
            <w:rPr>
              <w:rFonts w:eastAsiaTheme="minorEastAsia"/>
              <w:noProof/>
              <w:lang w:eastAsia="pt-BR"/>
            </w:rPr>
          </w:pPr>
          <w:hyperlink w:anchor="_Toc467598718" w:history="1">
            <w:r w:rsidR="00815C55" w:rsidRPr="00D31853">
              <w:rPr>
                <w:rStyle w:val="Hyperlink"/>
                <w:rFonts w:asciiTheme="majorHAnsi" w:hAnsiTheme="majorHAnsi"/>
                <w:noProof/>
              </w:rPr>
              <w:t>3.</w:t>
            </w:r>
            <w:r w:rsidR="00815C55">
              <w:rPr>
                <w:rFonts w:eastAsiaTheme="minorEastAsia"/>
                <w:noProof/>
                <w:lang w:eastAsia="pt-BR"/>
              </w:rPr>
              <w:tab/>
            </w:r>
            <w:r w:rsidR="00815C55" w:rsidRPr="00D31853">
              <w:rPr>
                <w:rStyle w:val="Hyperlink"/>
                <w:rFonts w:asciiTheme="majorHAnsi" w:hAnsiTheme="majorHAnsi"/>
                <w:noProof/>
              </w:rPr>
              <w:t>CENÁRIO ECONÔMICO PARA O EXERCÍCIO DE 2017</w:t>
            </w:r>
            <w:r w:rsidR="00815C55">
              <w:rPr>
                <w:noProof/>
                <w:webHidden/>
              </w:rPr>
              <w:tab/>
            </w:r>
            <w:r w:rsidR="00815C55">
              <w:rPr>
                <w:noProof/>
                <w:webHidden/>
              </w:rPr>
              <w:fldChar w:fldCharType="begin"/>
            </w:r>
            <w:r w:rsidR="00815C55">
              <w:rPr>
                <w:noProof/>
                <w:webHidden/>
              </w:rPr>
              <w:instrText xml:space="preserve"> PAGEREF _Toc467598718 \h </w:instrText>
            </w:r>
            <w:r w:rsidR="00815C55">
              <w:rPr>
                <w:noProof/>
                <w:webHidden/>
              </w:rPr>
            </w:r>
            <w:r w:rsidR="00815C55">
              <w:rPr>
                <w:noProof/>
                <w:webHidden/>
              </w:rPr>
              <w:fldChar w:fldCharType="separate"/>
            </w:r>
            <w:r w:rsidR="00815C55">
              <w:rPr>
                <w:noProof/>
                <w:webHidden/>
              </w:rPr>
              <w:t>3</w:t>
            </w:r>
            <w:r w:rsidR="00815C55">
              <w:rPr>
                <w:noProof/>
                <w:webHidden/>
              </w:rPr>
              <w:fldChar w:fldCharType="end"/>
            </w:r>
          </w:hyperlink>
        </w:p>
        <w:p w:rsidR="00815C55" w:rsidRDefault="00545C60">
          <w:pPr>
            <w:pStyle w:val="Sumrio2"/>
            <w:tabs>
              <w:tab w:val="left" w:pos="880"/>
              <w:tab w:val="right" w:leader="dot" w:pos="8494"/>
            </w:tabs>
            <w:rPr>
              <w:rFonts w:eastAsiaTheme="minorEastAsia"/>
              <w:noProof/>
              <w:lang w:eastAsia="pt-BR"/>
            </w:rPr>
          </w:pPr>
          <w:hyperlink w:anchor="_Toc467598719" w:history="1">
            <w:r w:rsidR="00815C55" w:rsidRPr="00D31853">
              <w:rPr>
                <w:rStyle w:val="Hyperlink"/>
                <w:noProof/>
              </w:rPr>
              <w:t>3.1</w:t>
            </w:r>
            <w:r w:rsidR="00815C55">
              <w:rPr>
                <w:rFonts w:eastAsiaTheme="minorEastAsia"/>
                <w:noProof/>
                <w:lang w:eastAsia="pt-BR"/>
              </w:rPr>
              <w:tab/>
            </w:r>
            <w:r w:rsidR="00815C55" w:rsidRPr="00D31853">
              <w:rPr>
                <w:rStyle w:val="Hyperlink"/>
                <w:noProof/>
              </w:rPr>
              <w:t>INTERNACIONAL - PERSPECTIVAS</w:t>
            </w:r>
            <w:r w:rsidR="00815C55">
              <w:rPr>
                <w:noProof/>
                <w:webHidden/>
              </w:rPr>
              <w:tab/>
            </w:r>
            <w:r w:rsidR="00815C55">
              <w:rPr>
                <w:noProof/>
                <w:webHidden/>
              </w:rPr>
              <w:fldChar w:fldCharType="begin"/>
            </w:r>
            <w:r w:rsidR="00815C55">
              <w:rPr>
                <w:noProof/>
                <w:webHidden/>
              </w:rPr>
              <w:instrText xml:space="preserve"> PAGEREF _Toc467598719 \h </w:instrText>
            </w:r>
            <w:r w:rsidR="00815C55">
              <w:rPr>
                <w:noProof/>
                <w:webHidden/>
              </w:rPr>
            </w:r>
            <w:r w:rsidR="00815C55">
              <w:rPr>
                <w:noProof/>
                <w:webHidden/>
              </w:rPr>
              <w:fldChar w:fldCharType="separate"/>
            </w:r>
            <w:r w:rsidR="00815C55">
              <w:rPr>
                <w:noProof/>
                <w:webHidden/>
              </w:rPr>
              <w:t>3</w:t>
            </w:r>
            <w:r w:rsidR="00815C55">
              <w:rPr>
                <w:noProof/>
                <w:webHidden/>
              </w:rPr>
              <w:fldChar w:fldCharType="end"/>
            </w:r>
          </w:hyperlink>
        </w:p>
        <w:p w:rsidR="00815C55" w:rsidRDefault="00545C60">
          <w:pPr>
            <w:pStyle w:val="Sumrio2"/>
            <w:tabs>
              <w:tab w:val="left" w:pos="880"/>
              <w:tab w:val="right" w:leader="dot" w:pos="8494"/>
            </w:tabs>
            <w:rPr>
              <w:rFonts w:eastAsiaTheme="minorEastAsia"/>
              <w:noProof/>
              <w:lang w:eastAsia="pt-BR"/>
            </w:rPr>
          </w:pPr>
          <w:hyperlink w:anchor="_Toc467598720" w:history="1">
            <w:r w:rsidR="00815C55" w:rsidRPr="00D31853">
              <w:rPr>
                <w:rStyle w:val="Hyperlink"/>
                <w:noProof/>
              </w:rPr>
              <w:t>3.2</w:t>
            </w:r>
            <w:r w:rsidR="00815C55">
              <w:rPr>
                <w:rFonts w:eastAsiaTheme="minorEastAsia"/>
                <w:noProof/>
                <w:lang w:eastAsia="pt-BR"/>
              </w:rPr>
              <w:tab/>
            </w:r>
            <w:r w:rsidR="00815C55" w:rsidRPr="00D31853">
              <w:rPr>
                <w:rStyle w:val="Hyperlink"/>
                <w:noProof/>
              </w:rPr>
              <w:t>NACIONAL – PERSPECTIVAS</w:t>
            </w:r>
            <w:r w:rsidR="00815C55">
              <w:rPr>
                <w:noProof/>
                <w:webHidden/>
              </w:rPr>
              <w:tab/>
            </w:r>
            <w:r w:rsidR="00815C55">
              <w:rPr>
                <w:noProof/>
                <w:webHidden/>
              </w:rPr>
              <w:fldChar w:fldCharType="begin"/>
            </w:r>
            <w:r w:rsidR="00815C55">
              <w:rPr>
                <w:noProof/>
                <w:webHidden/>
              </w:rPr>
              <w:instrText xml:space="preserve"> PAGEREF _Toc467598720 \h </w:instrText>
            </w:r>
            <w:r w:rsidR="00815C55">
              <w:rPr>
                <w:noProof/>
                <w:webHidden/>
              </w:rPr>
            </w:r>
            <w:r w:rsidR="00815C55">
              <w:rPr>
                <w:noProof/>
                <w:webHidden/>
              </w:rPr>
              <w:fldChar w:fldCharType="separate"/>
            </w:r>
            <w:r w:rsidR="00815C55">
              <w:rPr>
                <w:noProof/>
                <w:webHidden/>
              </w:rPr>
              <w:t>5</w:t>
            </w:r>
            <w:r w:rsidR="00815C55">
              <w:rPr>
                <w:noProof/>
                <w:webHidden/>
              </w:rPr>
              <w:fldChar w:fldCharType="end"/>
            </w:r>
          </w:hyperlink>
        </w:p>
        <w:p w:rsidR="00815C55" w:rsidRDefault="00545C60">
          <w:pPr>
            <w:pStyle w:val="Sumrio2"/>
            <w:tabs>
              <w:tab w:val="left" w:pos="880"/>
              <w:tab w:val="right" w:leader="dot" w:pos="8494"/>
            </w:tabs>
            <w:rPr>
              <w:rFonts w:eastAsiaTheme="minorEastAsia"/>
              <w:noProof/>
              <w:lang w:eastAsia="pt-BR"/>
            </w:rPr>
          </w:pPr>
          <w:hyperlink w:anchor="_Toc467598721" w:history="1">
            <w:r w:rsidR="00815C55" w:rsidRPr="00D31853">
              <w:rPr>
                <w:rStyle w:val="Hyperlink"/>
                <w:noProof/>
              </w:rPr>
              <w:t>3.3</w:t>
            </w:r>
            <w:r w:rsidR="00815C55">
              <w:rPr>
                <w:rFonts w:eastAsiaTheme="minorEastAsia"/>
                <w:noProof/>
                <w:lang w:eastAsia="pt-BR"/>
              </w:rPr>
              <w:tab/>
            </w:r>
            <w:r w:rsidR="00815C55" w:rsidRPr="00D31853">
              <w:rPr>
                <w:rStyle w:val="Hyperlink"/>
                <w:noProof/>
              </w:rPr>
              <w:t>EXPECTATIVAS DE MERCADO</w:t>
            </w:r>
            <w:r w:rsidR="00815C55">
              <w:rPr>
                <w:noProof/>
                <w:webHidden/>
              </w:rPr>
              <w:tab/>
            </w:r>
            <w:r w:rsidR="00815C55">
              <w:rPr>
                <w:noProof/>
                <w:webHidden/>
              </w:rPr>
              <w:fldChar w:fldCharType="begin"/>
            </w:r>
            <w:r w:rsidR="00815C55">
              <w:rPr>
                <w:noProof/>
                <w:webHidden/>
              </w:rPr>
              <w:instrText xml:space="preserve"> PAGEREF _Toc467598721 \h </w:instrText>
            </w:r>
            <w:r w:rsidR="00815C55">
              <w:rPr>
                <w:noProof/>
                <w:webHidden/>
              </w:rPr>
            </w:r>
            <w:r w:rsidR="00815C55">
              <w:rPr>
                <w:noProof/>
                <w:webHidden/>
              </w:rPr>
              <w:fldChar w:fldCharType="separate"/>
            </w:r>
            <w:r w:rsidR="00815C55">
              <w:rPr>
                <w:noProof/>
                <w:webHidden/>
              </w:rPr>
              <w:t>7</w:t>
            </w:r>
            <w:r w:rsidR="00815C55">
              <w:rPr>
                <w:noProof/>
                <w:webHidden/>
              </w:rPr>
              <w:fldChar w:fldCharType="end"/>
            </w:r>
          </w:hyperlink>
        </w:p>
        <w:p w:rsidR="00815C55" w:rsidRDefault="00545C60">
          <w:pPr>
            <w:pStyle w:val="Sumrio1"/>
            <w:tabs>
              <w:tab w:val="left" w:pos="440"/>
              <w:tab w:val="right" w:leader="dot" w:pos="8494"/>
            </w:tabs>
            <w:rPr>
              <w:rFonts w:eastAsiaTheme="minorEastAsia"/>
              <w:noProof/>
              <w:lang w:eastAsia="pt-BR"/>
            </w:rPr>
          </w:pPr>
          <w:hyperlink w:anchor="_Toc467598722" w:history="1">
            <w:r w:rsidR="00815C55" w:rsidRPr="00D31853">
              <w:rPr>
                <w:rStyle w:val="Hyperlink"/>
                <w:rFonts w:asciiTheme="majorHAnsi" w:hAnsiTheme="majorHAnsi"/>
                <w:noProof/>
              </w:rPr>
              <w:t>4.</w:t>
            </w:r>
            <w:r w:rsidR="00815C55">
              <w:rPr>
                <w:rFonts w:eastAsiaTheme="minorEastAsia"/>
                <w:noProof/>
                <w:lang w:eastAsia="pt-BR"/>
              </w:rPr>
              <w:tab/>
            </w:r>
            <w:r w:rsidR="00815C55" w:rsidRPr="00D31853">
              <w:rPr>
                <w:rStyle w:val="Hyperlink"/>
                <w:rFonts w:asciiTheme="majorHAnsi" w:hAnsiTheme="majorHAnsi"/>
                <w:noProof/>
              </w:rPr>
              <w:t>ALOCAÇÃO ESTRATÉGICA DOS RECURSOS</w:t>
            </w:r>
            <w:r w:rsidR="00815C55">
              <w:rPr>
                <w:noProof/>
                <w:webHidden/>
              </w:rPr>
              <w:tab/>
            </w:r>
            <w:r w:rsidR="00815C55">
              <w:rPr>
                <w:noProof/>
                <w:webHidden/>
              </w:rPr>
              <w:fldChar w:fldCharType="begin"/>
            </w:r>
            <w:r w:rsidR="00815C55">
              <w:rPr>
                <w:noProof/>
                <w:webHidden/>
              </w:rPr>
              <w:instrText xml:space="preserve"> PAGEREF _Toc467598722 \h </w:instrText>
            </w:r>
            <w:r w:rsidR="00815C55">
              <w:rPr>
                <w:noProof/>
                <w:webHidden/>
              </w:rPr>
            </w:r>
            <w:r w:rsidR="00815C55">
              <w:rPr>
                <w:noProof/>
                <w:webHidden/>
              </w:rPr>
              <w:fldChar w:fldCharType="separate"/>
            </w:r>
            <w:r w:rsidR="00815C55">
              <w:rPr>
                <w:noProof/>
                <w:webHidden/>
              </w:rPr>
              <w:t>8</w:t>
            </w:r>
            <w:r w:rsidR="00815C55">
              <w:rPr>
                <w:noProof/>
                <w:webHidden/>
              </w:rPr>
              <w:fldChar w:fldCharType="end"/>
            </w:r>
          </w:hyperlink>
        </w:p>
        <w:p w:rsidR="00815C55" w:rsidRDefault="00545C60">
          <w:pPr>
            <w:pStyle w:val="Sumrio2"/>
            <w:tabs>
              <w:tab w:val="left" w:pos="880"/>
              <w:tab w:val="right" w:leader="dot" w:pos="8494"/>
            </w:tabs>
            <w:rPr>
              <w:rFonts w:eastAsiaTheme="minorEastAsia"/>
              <w:noProof/>
              <w:lang w:eastAsia="pt-BR"/>
            </w:rPr>
          </w:pPr>
          <w:hyperlink w:anchor="_Toc467598723" w:history="1">
            <w:r w:rsidR="00815C55" w:rsidRPr="00D31853">
              <w:rPr>
                <w:rStyle w:val="Hyperlink"/>
                <w:noProof/>
              </w:rPr>
              <w:t>4.1</w:t>
            </w:r>
            <w:r w:rsidR="00815C55">
              <w:rPr>
                <w:rFonts w:eastAsiaTheme="minorEastAsia"/>
                <w:noProof/>
                <w:lang w:eastAsia="pt-BR"/>
              </w:rPr>
              <w:tab/>
            </w:r>
            <w:r w:rsidR="00815C55" w:rsidRPr="00D31853">
              <w:rPr>
                <w:rStyle w:val="Hyperlink"/>
                <w:noProof/>
              </w:rPr>
              <w:t>SEGMENTO DE RENDA FIXA</w:t>
            </w:r>
            <w:r w:rsidR="00815C55">
              <w:rPr>
                <w:noProof/>
                <w:webHidden/>
              </w:rPr>
              <w:tab/>
            </w:r>
            <w:r w:rsidR="00815C55">
              <w:rPr>
                <w:noProof/>
                <w:webHidden/>
              </w:rPr>
              <w:fldChar w:fldCharType="begin"/>
            </w:r>
            <w:r w:rsidR="00815C55">
              <w:rPr>
                <w:noProof/>
                <w:webHidden/>
              </w:rPr>
              <w:instrText xml:space="preserve"> PAGEREF _Toc467598723 \h </w:instrText>
            </w:r>
            <w:r w:rsidR="00815C55">
              <w:rPr>
                <w:noProof/>
                <w:webHidden/>
              </w:rPr>
            </w:r>
            <w:r w:rsidR="00815C55">
              <w:rPr>
                <w:noProof/>
                <w:webHidden/>
              </w:rPr>
              <w:fldChar w:fldCharType="separate"/>
            </w:r>
            <w:r w:rsidR="00815C55">
              <w:rPr>
                <w:noProof/>
                <w:webHidden/>
              </w:rPr>
              <w:t>9</w:t>
            </w:r>
            <w:r w:rsidR="00815C55">
              <w:rPr>
                <w:noProof/>
                <w:webHidden/>
              </w:rPr>
              <w:fldChar w:fldCharType="end"/>
            </w:r>
          </w:hyperlink>
        </w:p>
        <w:p w:rsidR="00815C55" w:rsidRDefault="00545C60">
          <w:pPr>
            <w:pStyle w:val="Sumrio2"/>
            <w:tabs>
              <w:tab w:val="left" w:pos="880"/>
              <w:tab w:val="right" w:leader="dot" w:pos="8494"/>
            </w:tabs>
            <w:rPr>
              <w:rFonts w:eastAsiaTheme="minorEastAsia"/>
              <w:noProof/>
              <w:lang w:eastAsia="pt-BR"/>
            </w:rPr>
          </w:pPr>
          <w:hyperlink w:anchor="_Toc467598724" w:history="1">
            <w:r w:rsidR="00815C55" w:rsidRPr="00D31853">
              <w:rPr>
                <w:rStyle w:val="Hyperlink"/>
                <w:noProof/>
              </w:rPr>
              <w:t>4.2</w:t>
            </w:r>
            <w:r w:rsidR="00815C55">
              <w:rPr>
                <w:rFonts w:eastAsiaTheme="minorEastAsia"/>
                <w:noProof/>
                <w:lang w:eastAsia="pt-BR"/>
              </w:rPr>
              <w:tab/>
            </w:r>
            <w:r w:rsidR="00815C55" w:rsidRPr="00D31853">
              <w:rPr>
                <w:rStyle w:val="Hyperlink"/>
                <w:noProof/>
              </w:rPr>
              <w:t>SEGMENTO DE RENDA VARIÁVEL</w:t>
            </w:r>
            <w:r w:rsidR="00815C55">
              <w:rPr>
                <w:noProof/>
                <w:webHidden/>
              </w:rPr>
              <w:tab/>
            </w:r>
            <w:r w:rsidR="00815C55">
              <w:rPr>
                <w:noProof/>
                <w:webHidden/>
              </w:rPr>
              <w:fldChar w:fldCharType="begin"/>
            </w:r>
            <w:r w:rsidR="00815C55">
              <w:rPr>
                <w:noProof/>
                <w:webHidden/>
              </w:rPr>
              <w:instrText xml:space="preserve"> PAGEREF _Toc467598724 \h </w:instrText>
            </w:r>
            <w:r w:rsidR="00815C55">
              <w:rPr>
                <w:noProof/>
                <w:webHidden/>
              </w:rPr>
            </w:r>
            <w:r w:rsidR="00815C55">
              <w:rPr>
                <w:noProof/>
                <w:webHidden/>
              </w:rPr>
              <w:fldChar w:fldCharType="separate"/>
            </w:r>
            <w:r w:rsidR="00815C55">
              <w:rPr>
                <w:noProof/>
                <w:webHidden/>
              </w:rPr>
              <w:t>10</w:t>
            </w:r>
            <w:r w:rsidR="00815C55">
              <w:rPr>
                <w:noProof/>
                <w:webHidden/>
              </w:rPr>
              <w:fldChar w:fldCharType="end"/>
            </w:r>
          </w:hyperlink>
        </w:p>
        <w:p w:rsidR="00815C55" w:rsidRDefault="00545C60">
          <w:pPr>
            <w:pStyle w:val="Sumrio2"/>
            <w:tabs>
              <w:tab w:val="left" w:pos="880"/>
              <w:tab w:val="right" w:leader="dot" w:pos="8494"/>
            </w:tabs>
            <w:rPr>
              <w:rFonts w:eastAsiaTheme="minorEastAsia"/>
              <w:noProof/>
              <w:lang w:eastAsia="pt-BR"/>
            </w:rPr>
          </w:pPr>
          <w:hyperlink w:anchor="_Toc467598725" w:history="1">
            <w:r w:rsidR="00815C55" w:rsidRPr="00D31853">
              <w:rPr>
                <w:rStyle w:val="Hyperlink"/>
                <w:noProof/>
              </w:rPr>
              <w:t>4.3</w:t>
            </w:r>
            <w:r w:rsidR="00815C55">
              <w:rPr>
                <w:rFonts w:eastAsiaTheme="minorEastAsia"/>
                <w:noProof/>
                <w:lang w:eastAsia="pt-BR"/>
              </w:rPr>
              <w:tab/>
            </w:r>
            <w:r w:rsidR="00815C55" w:rsidRPr="00D31853">
              <w:rPr>
                <w:rStyle w:val="Hyperlink"/>
                <w:noProof/>
              </w:rPr>
              <w:t>SEGMENTO DE IMÓVEIS</w:t>
            </w:r>
            <w:r w:rsidR="00815C55">
              <w:rPr>
                <w:noProof/>
                <w:webHidden/>
              </w:rPr>
              <w:tab/>
            </w:r>
            <w:r w:rsidR="00815C55">
              <w:rPr>
                <w:noProof/>
                <w:webHidden/>
              </w:rPr>
              <w:fldChar w:fldCharType="begin"/>
            </w:r>
            <w:r w:rsidR="00815C55">
              <w:rPr>
                <w:noProof/>
                <w:webHidden/>
              </w:rPr>
              <w:instrText xml:space="preserve"> PAGEREF _Toc467598725 \h </w:instrText>
            </w:r>
            <w:r w:rsidR="00815C55">
              <w:rPr>
                <w:noProof/>
                <w:webHidden/>
              </w:rPr>
            </w:r>
            <w:r w:rsidR="00815C55">
              <w:rPr>
                <w:noProof/>
                <w:webHidden/>
              </w:rPr>
              <w:fldChar w:fldCharType="separate"/>
            </w:r>
            <w:r w:rsidR="00815C55">
              <w:rPr>
                <w:noProof/>
                <w:webHidden/>
              </w:rPr>
              <w:t>10</w:t>
            </w:r>
            <w:r w:rsidR="00815C55">
              <w:rPr>
                <w:noProof/>
                <w:webHidden/>
              </w:rPr>
              <w:fldChar w:fldCharType="end"/>
            </w:r>
          </w:hyperlink>
        </w:p>
        <w:p w:rsidR="00815C55" w:rsidRDefault="00545C60">
          <w:pPr>
            <w:pStyle w:val="Sumrio2"/>
            <w:tabs>
              <w:tab w:val="left" w:pos="880"/>
              <w:tab w:val="right" w:leader="dot" w:pos="8494"/>
            </w:tabs>
            <w:rPr>
              <w:rFonts w:eastAsiaTheme="minorEastAsia"/>
              <w:noProof/>
              <w:lang w:eastAsia="pt-BR"/>
            </w:rPr>
          </w:pPr>
          <w:hyperlink w:anchor="_Toc467598726" w:history="1">
            <w:r w:rsidR="00815C55" w:rsidRPr="00D31853">
              <w:rPr>
                <w:rStyle w:val="Hyperlink"/>
                <w:noProof/>
              </w:rPr>
              <w:t>4.4</w:t>
            </w:r>
            <w:r w:rsidR="00815C55">
              <w:rPr>
                <w:rFonts w:eastAsiaTheme="minorEastAsia"/>
                <w:noProof/>
                <w:lang w:eastAsia="pt-BR"/>
              </w:rPr>
              <w:tab/>
            </w:r>
            <w:r w:rsidR="00815C55" w:rsidRPr="00D31853">
              <w:rPr>
                <w:rStyle w:val="Hyperlink"/>
                <w:noProof/>
              </w:rPr>
              <w:t>ENQUADRAMENTO</w:t>
            </w:r>
            <w:r w:rsidR="00815C55">
              <w:rPr>
                <w:noProof/>
                <w:webHidden/>
              </w:rPr>
              <w:tab/>
            </w:r>
            <w:r w:rsidR="00815C55">
              <w:rPr>
                <w:noProof/>
                <w:webHidden/>
              </w:rPr>
              <w:fldChar w:fldCharType="begin"/>
            </w:r>
            <w:r w:rsidR="00815C55">
              <w:rPr>
                <w:noProof/>
                <w:webHidden/>
              </w:rPr>
              <w:instrText xml:space="preserve"> PAGEREF _Toc467598726 \h </w:instrText>
            </w:r>
            <w:r w:rsidR="00815C55">
              <w:rPr>
                <w:noProof/>
                <w:webHidden/>
              </w:rPr>
            </w:r>
            <w:r w:rsidR="00815C55">
              <w:rPr>
                <w:noProof/>
                <w:webHidden/>
              </w:rPr>
              <w:fldChar w:fldCharType="separate"/>
            </w:r>
            <w:r w:rsidR="00815C55">
              <w:rPr>
                <w:noProof/>
                <w:webHidden/>
              </w:rPr>
              <w:t>10</w:t>
            </w:r>
            <w:r w:rsidR="00815C55">
              <w:rPr>
                <w:noProof/>
                <w:webHidden/>
              </w:rPr>
              <w:fldChar w:fldCharType="end"/>
            </w:r>
          </w:hyperlink>
        </w:p>
        <w:p w:rsidR="00815C55" w:rsidRDefault="00545C60">
          <w:pPr>
            <w:pStyle w:val="Sumrio2"/>
            <w:tabs>
              <w:tab w:val="left" w:pos="880"/>
              <w:tab w:val="right" w:leader="dot" w:pos="8494"/>
            </w:tabs>
            <w:rPr>
              <w:rFonts w:eastAsiaTheme="minorEastAsia"/>
              <w:noProof/>
              <w:lang w:eastAsia="pt-BR"/>
            </w:rPr>
          </w:pPr>
          <w:hyperlink w:anchor="_Toc467598727" w:history="1">
            <w:r w:rsidR="00815C55" w:rsidRPr="00D31853">
              <w:rPr>
                <w:rStyle w:val="Hyperlink"/>
                <w:noProof/>
              </w:rPr>
              <w:t>4.5</w:t>
            </w:r>
            <w:r w:rsidR="00815C55">
              <w:rPr>
                <w:rFonts w:eastAsiaTheme="minorEastAsia"/>
                <w:noProof/>
                <w:lang w:eastAsia="pt-BR"/>
              </w:rPr>
              <w:tab/>
            </w:r>
            <w:r w:rsidR="00815C55" w:rsidRPr="00D31853">
              <w:rPr>
                <w:rStyle w:val="Hyperlink"/>
                <w:noProof/>
              </w:rPr>
              <w:t>VEDAÇÕES</w:t>
            </w:r>
            <w:r w:rsidR="00815C55">
              <w:rPr>
                <w:noProof/>
                <w:webHidden/>
              </w:rPr>
              <w:tab/>
            </w:r>
            <w:r w:rsidR="00815C55">
              <w:rPr>
                <w:noProof/>
                <w:webHidden/>
              </w:rPr>
              <w:fldChar w:fldCharType="begin"/>
            </w:r>
            <w:r w:rsidR="00815C55">
              <w:rPr>
                <w:noProof/>
                <w:webHidden/>
              </w:rPr>
              <w:instrText xml:space="preserve"> PAGEREF _Toc467598727 \h </w:instrText>
            </w:r>
            <w:r w:rsidR="00815C55">
              <w:rPr>
                <w:noProof/>
                <w:webHidden/>
              </w:rPr>
            </w:r>
            <w:r w:rsidR="00815C55">
              <w:rPr>
                <w:noProof/>
                <w:webHidden/>
              </w:rPr>
              <w:fldChar w:fldCharType="separate"/>
            </w:r>
            <w:r w:rsidR="00815C55">
              <w:rPr>
                <w:noProof/>
                <w:webHidden/>
              </w:rPr>
              <w:t>10</w:t>
            </w:r>
            <w:r w:rsidR="00815C55">
              <w:rPr>
                <w:noProof/>
                <w:webHidden/>
              </w:rPr>
              <w:fldChar w:fldCharType="end"/>
            </w:r>
          </w:hyperlink>
        </w:p>
        <w:p w:rsidR="00815C55" w:rsidRDefault="00545C60">
          <w:pPr>
            <w:pStyle w:val="Sumrio2"/>
            <w:tabs>
              <w:tab w:val="left" w:pos="880"/>
              <w:tab w:val="right" w:leader="dot" w:pos="8494"/>
            </w:tabs>
            <w:rPr>
              <w:rFonts w:eastAsiaTheme="minorEastAsia"/>
              <w:noProof/>
              <w:lang w:eastAsia="pt-BR"/>
            </w:rPr>
          </w:pPr>
          <w:hyperlink w:anchor="_Toc467598728" w:history="1">
            <w:r w:rsidR="00815C55" w:rsidRPr="00D31853">
              <w:rPr>
                <w:rStyle w:val="Hyperlink"/>
                <w:noProof/>
              </w:rPr>
              <w:t>6.1</w:t>
            </w:r>
            <w:r w:rsidR="00815C55">
              <w:rPr>
                <w:rFonts w:eastAsiaTheme="minorEastAsia"/>
                <w:noProof/>
                <w:lang w:eastAsia="pt-BR"/>
              </w:rPr>
              <w:tab/>
            </w:r>
            <w:r w:rsidR="00815C55" w:rsidRPr="00D31853">
              <w:rPr>
                <w:rStyle w:val="Hyperlink"/>
                <w:noProof/>
              </w:rPr>
              <w:t>GESTÃO PRÓPRIA</w:t>
            </w:r>
            <w:r w:rsidR="00815C55">
              <w:rPr>
                <w:noProof/>
                <w:webHidden/>
              </w:rPr>
              <w:tab/>
            </w:r>
            <w:r w:rsidR="00815C55">
              <w:rPr>
                <w:noProof/>
                <w:webHidden/>
              </w:rPr>
              <w:fldChar w:fldCharType="begin"/>
            </w:r>
            <w:r w:rsidR="00815C55">
              <w:rPr>
                <w:noProof/>
                <w:webHidden/>
              </w:rPr>
              <w:instrText xml:space="preserve"> PAGEREF _Toc467598728 \h </w:instrText>
            </w:r>
            <w:r w:rsidR="00815C55">
              <w:rPr>
                <w:noProof/>
                <w:webHidden/>
              </w:rPr>
            </w:r>
            <w:r w:rsidR="00815C55">
              <w:rPr>
                <w:noProof/>
                <w:webHidden/>
              </w:rPr>
              <w:fldChar w:fldCharType="separate"/>
            </w:r>
            <w:r w:rsidR="00815C55">
              <w:rPr>
                <w:noProof/>
                <w:webHidden/>
              </w:rPr>
              <w:t>12</w:t>
            </w:r>
            <w:r w:rsidR="00815C55">
              <w:rPr>
                <w:noProof/>
                <w:webHidden/>
              </w:rPr>
              <w:fldChar w:fldCharType="end"/>
            </w:r>
          </w:hyperlink>
        </w:p>
        <w:p w:rsidR="00815C55" w:rsidRDefault="00545C60">
          <w:pPr>
            <w:pStyle w:val="Sumrio2"/>
            <w:tabs>
              <w:tab w:val="left" w:pos="880"/>
              <w:tab w:val="right" w:leader="dot" w:pos="8494"/>
            </w:tabs>
            <w:rPr>
              <w:rFonts w:eastAsiaTheme="minorEastAsia"/>
              <w:noProof/>
              <w:lang w:eastAsia="pt-BR"/>
            </w:rPr>
          </w:pPr>
          <w:hyperlink w:anchor="_Toc467598729" w:history="1">
            <w:r w:rsidR="00815C55" w:rsidRPr="00D31853">
              <w:rPr>
                <w:rStyle w:val="Hyperlink"/>
                <w:noProof/>
              </w:rPr>
              <w:t>6.2</w:t>
            </w:r>
            <w:r w:rsidR="00815C55">
              <w:rPr>
                <w:rFonts w:eastAsiaTheme="minorEastAsia"/>
                <w:noProof/>
                <w:lang w:eastAsia="pt-BR"/>
              </w:rPr>
              <w:tab/>
            </w:r>
            <w:r w:rsidR="00815C55" w:rsidRPr="00D31853">
              <w:rPr>
                <w:rStyle w:val="Hyperlink"/>
                <w:noProof/>
              </w:rPr>
              <w:t>ÓRGÃOS DE EXECUÇÃO</w:t>
            </w:r>
            <w:r w:rsidR="00815C55">
              <w:rPr>
                <w:noProof/>
                <w:webHidden/>
              </w:rPr>
              <w:tab/>
            </w:r>
            <w:r w:rsidR="00815C55">
              <w:rPr>
                <w:noProof/>
                <w:webHidden/>
              </w:rPr>
              <w:fldChar w:fldCharType="begin"/>
            </w:r>
            <w:r w:rsidR="00815C55">
              <w:rPr>
                <w:noProof/>
                <w:webHidden/>
              </w:rPr>
              <w:instrText xml:space="preserve"> PAGEREF _Toc467598729 \h </w:instrText>
            </w:r>
            <w:r w:rsidR="00815C55">
              <w:rPr>
                <w:noProof/>
                <w:webHidden/>
              </w:rPr>
            </w:r>
            <w:r w:rsidR="00815C55">
              <w:rPr>
                <w:noProof/>
                <w:webHidden/>
              </w:rPr>
              <w:fldChar w:fldCharType="separate"/>
            </w:r>
            <w:r w:rsidR="00815C55">
              <w:rPr>
                <w:noProof/>
                <w:webHidden/>
              </w:rPr>
              <w:t>12</w:t>
            </w:r>
            <w:r w:rsidR="00815C55">
              <w:rPr>
                <w:noProof/>
                <w:webHidden/>
              </w:rPr>
              <w:fldChar w:fldCharType="end"/>
            </w:r>
          </w:hyperlink>
        </w:p>
        <w:p w:rsidR="00815C55" w:rsidRDefault="00545C60">
          <w:pPr>
            <w:pStyle w:val="Sumrio2"/>
            <w:tabs>
              <w:tab w:val="left" w:pos="880"/>
              <w:tab w:val="right" w:leader="dot" w:pos="8494"/>
            </w:tabs>
            <w:rPr>
              <w:rFonts w:eastAsiaTheme="minorEastAsia"/>
              <w:noProof/>
              <w:lang w:eastAsia="pt-BR"/>
            </w:rPr>
          </w:pPr>
          <w:hyperlink w:anchor="_Toc467598730" w:history="1">
            <w:r w:rsidR="00815C55" w:rsidRPr="00D31853">
              <w:rPr>
                <w:rStyle w:val="Hyperlink"/>
                <w:noProof/>
              </w:rPr>
              <w:t>7.1</w:t>
            </w:r>
            <w:r w:rsidR="00815C55">
              <w:rPr>
                <w:rFonts w:eastAsiaTheme="minorEastAsia"/>
                <w:noProof/>
                <w:lang w:eastAsia="pt-BR"/>
              </w:rPr>
              <w:tab/>
            </w:r>
            <w:r w:rsidR="00815C55" w:rsidRPr="00D31853">
              <w:rPr>
                <w:rStyle w:val="Hyperlink"/>
                <w:noProof/>
              </w:rPr>
              <w:t>CONTROLE DO RISCO DE MERCADO</w:t>
            </w:r>
            <w:r w:rsidR="00815C55">
              <w:rPr>
                <w:noProof/>
                <w:webHidden/>
              </w:rPr>
              <w:tab/>
            </w:r>
            <w:r w:rsidR="00815C55">
              <w:rPr>
                <w:noProof/>
                <w:webHidden/>
              </w:rPr>
              <w:fldChar w:fldCharType="begin"/>
            </w:r>
            <w:r w:rsidR="00815C55">
              <w:rPr>
                <w:noProof/>
                <w:webHidden/>
              </w:rPr>
              <w:instrText xml:space="preserve"> PAGEREF _Toc467598730 \h </w:instrText>
            </w:r>
            <w:r w:rsidR="00815C55">
              <w:rPr>
                <w:noProof/>
                <w:webHidden/>
              </w:rPr>
            </w:r>
            <w:r w:rsidR="00815C55">
              <w:rPr>
                <w:noProof/>
                <w:webHidden/>
              </w:rPr>
              <w:fldChar w:fldCharType="separate"/>
            </w:r>
            <w:r w:rsidR="00815C55">
              <w:rPr>
                <w:noProof/>
                <w:webHidden/>
              </w:rPr>
              <w:t>13</w:t>
            </w:r>
            <w:r w:rsidR="00815C55">
              <w:rPr>
                <w:noProof/>
                <w:webHidden/>
              </w:rPr>
              <w:fldChar w:fldCharType="end"/>
            </w:r>
          </w:hyperlink>
        </w:p>
        <w:p w:rsidR="00815C55" w:rsidRDefault="00545C60">
          <w:pPr>
            <w:pStyle w:val="Sumrio2"/>
            <w:tabs>
              <w:tab w:val="left" w:pos="880"/>
              <w:tab w:val="right" w:leader="dot" w:pos="8494"/>
            </w:tabs>
            <w:rPr>
              <w:rFonts w:eastAsiaTheme="minorEastAsia"/>
              <w:noProof/>
              <w:lang w:eastAsia="pt-BR"/>
            </w:rPr>
          </w:pPr>
          <w:hyperlink w:anchor="_Toc467598731" w:history="1">
            <w:r w:rsidR="00815C55" w:rsidRPr="00D31853">
              <w:rPr>
                <w:rStyle w:val="Hyperlink"/>
                <w:noProof/>
              </w:rPr>
              <w:t>7.2</w:t>
            </w:r>
            <w:r w:rsidR="00815C55">
              <w:rPr>
                <w:rFonts w:eastAsiaTheme="minorEastAsia"/>
                <w:noProof/>
                <w:lang w:eastAsia="pt-BR"/>
              </w:rPr>
              <w:tab/>
            </w:r>
            <w:r w:rsidR="00815C55" w:rsidRPr="00D31853">
              <w:rPr>
                <w:rStyle w:val="Hyperlink"/>
                <w:noProof/>
              </w:rPr>
              <w:t>CONTROLE DO RISCO DE CRÉDITO</w:t>
            </w:r>
            <w:r w:rsidR="00815C55">
              <w:rPr>
                <w:noProof/>
                <w:webHidden/>
              </w:rPr>
              <w:tab/>
            </w:r>
            <w:r w:rsidR="00815C55">
              <w:rPr>
                <w:noProof/>
                <w:webHidden/>
              </w:rPr>
              <w:fldChar w:fldCharType="begin"/>
            </w:r>
            <w:r w:rsidR="00815C55">
              <w:rPr>
                <w:noProof/>
                <w:webHidden/>
              </w:rPr>
              <w:instrText xml:space="preserve"> PAGEREF _Toc467598731 \h </w:instrText>
            </w:r>
            <w:r w:rsidR="00815C55">
              <w:rPr>
                <w:noProof/>
                <w:webHidden/>
              </w:rPr>
            </w:r>
            <w:r w:rsidR="00815C55">
              <w:rPr>
                <w:noProof/>
                <w:webHidden/>
              </w:rPr>
              <w:fldChar w:fldCharType="separate"/>
            </w:r>
            <w:r w:rsidR="00815C55">
              <w:rPr>
                <w:noProof/>
                <w:webHidden/>
              </w:rPr>
              <w:t>13</w:t>
            </w:r>
            <w:r w:rsidR="00815C55">
              <w:rPr>
                <w:noProof/>
                <w:webHidden/>
              </w:rPr>
              <w:fldChar w:fldCharType="end"/>
            </w:r>
          </w:hyperlink>
        </w:p>
        <w:p w:rsidR="00815C55" w:rsidRDefault="00545C60">
          <w:pPr>
            <w:pStyle w:val="Sumrio2"/>
            <w:tabs>
              <w:tab w:val="left" w:pos="880"/>
              <w:tab w:val="right" w:leader="dot" w:pos="8494"/>
            </w:tabs>
            <w:rPr>
              <w:rFonts w:eastAsiaTheme="minorEastAsia"/>
              <w:noProof/>
              <w:lang w:eastAsia="pt-BR"/>
            </w:rPr>
          </w:pPr>
          <w:hyperlink w:anchor="_Toc467598732" w:history="1">
            <w:r w:rsidR="00815C55" w:rsidRPr="00D31853">
              <w:rPr>
                <w:rStyle w:val="Hyperlink"/>
                <w:noProof/>
              </w:rPr>
              <w:t>7.3</w:t>
            </w:r>
            <w:r w:rsidR="00815C55">
              <w:rPr>
                <w:rFonts w:eastAsiaTheme="minorEastAsia"/>
                <w:noProof/>
                <w:lang w:eastAsia="pt-BR"/>
              </w:rPr>
              <w:tab/>
            </w:r>
            <w:r w:rsidR="00815C55" w:rsidRPr="00D31853">
              <w:rPr>
                <w:rStyle w:val="Hyperlink"/>
                <w:noProof/>
              </w:rPr>
              <w:t>CONTROLE DO RISCO DE LIQUIDEZ</w:t>
            </w:r>
            <w:r w:rsidR="00815C55">
              <w:rPr>
                <w:noProof/>
                <w:webHidden/>
              </w:rPr>
              <w:tab/>
            </w:r>
            <w:r w:rsidR="00815C55">
              <w:rPr>
                <w:noProof/>
                <w:webHidden/>
              </w:rPr>
              <w:fldChar w:fldCharType="begin"/>
            </w:r>
            <w:r w:rsidR="00815C55">
              <w:rPr>
                <w:noProof/>
                <w:webHidden/>
              </w:rPr>
              <w:instrText xml:space="preserve"> PAGEREF _Toc467598732 \h </w:instrText>
            </w:r>
            <w:r w:rsidR="00815C55">
              <w:rPr>
                <w:noProof/>
                <w:webHidden/>
              </w:rPr>
            </w:r>
            <w:r w:rsidR="00815C55">
              <w:rPr>
                <w:noProof/>
                <w:webHidden/>
              </w:rPr>
              <w:fldChar w:fldCharType="separate"/>
            </w:r>
            <w:r w:rsidR="00815C55">
              <w:rPr>
                <w:noProof/>
                <w:webHidden/>
              </w:rPr>
              <w:t>14</w:t>
            </w:r>
            <w:r w:rsidR="00815C55">
              <w:rPr>
                <w:noProof/>
                <w:webHidden/>
              </w:rPr>
              <w:fldChar w:fldCharType="end"/>
            </w:r>
          </w:hyperlink>
        </w:p>
        <w:p w:rsidR="00815C55" w:rsidRDefault="00545C60">
          <w:pPr>
            <w:pStyle w:val="Sumrio2"/>
            <w:tabs>
              <w:tab w:val="left" w:pos="880"/>
              <w:tab w:val="right" w:leader="dot" w:pos="8494"/>
            </w:tabs>
            <w:rPr>
              <w:rFonts w:eastAsiaTheme="minorEastAsia"/>
              <w:noProof/>
              <w:lang w:eastAsia="pt-BR"/>
            </w:rPr>
          </w:pPr>
          <w:hyperlink w:anchor="_Toc467598733" w:history="1">
            <w:r w:rsidR="00815C55" w:rsidRPr="00D31853">
              <w:rPr>
                <w:rStyle w:val="Hyperlink"/>
                <w:noProof/>
              </w:rPr>
              <w:t>9.1</w:t>
            </w:r>
            <w:r w:rsidR="00815C55">
              <w:rPr>
                <w:rFonts w:eastAsiaTheme="minorEastAsia"/>
                <w:noProof/>
                <w:lang w:eastAsia="pt-BR"/>
              </w:rPr>
              <w:tab/>
            </w:r>
            <w:r w:rsidR="00815C55" w:rsidRPr="00D31853">
              <w:rPr>
                <w:rStyle w:val="Hyperlink"/>
                <w:noProof/>
              </w:rPr>
              <w:t>PROCESSO DE SELEÇÃO E AVALIAÇÃO DE GESTORES/ADMINISTRADORES</w:t>
            </w:r>
            <w:r w:rsidR="00815C55">
              <w:rPr>
                <w:noProof/>
                <w:webHidden/>
              </w:rPr>
              <w:tab/>
            </w:r>
            <w:r w:rsidR="00815C55">
              <w:rPr>
                <w:noProof/>
                <w:webHidden/>
              </w:rPr>
              <w:fldChar w:fldCharType="begin"/>
            </w:r>
            <w:r w:rsidR="00815C55">
              <w:rPr>
                <w:noProof/>
                <w:webHidden/>
              </w:rPr>
              <w:instrText xml:space="preserve"> PAGEREF _Toc467598733 \h </w:instrText>
            </w:r>
            <w:r w:rsidR="00815C55">
              <w:rPr>
                <w:noProof/>
                <w:webHidden/>
              </w:rPr>
            </w:r>
            <w:r w:rsidR="00815C55">
              <w:rPr>
                <w:noProof/>
                <w:webHidden/>
              </w:rPr>
              <w:fldChar w:fldCharType="separate"/>
            </w:r>
            <w:r w:rsidR="00815C55">
              <w:rPr>
                <w:noProof/>
                <w:webHidden/>
              </w:rPr>
              <w:t>15</w:t>
            </w:r>
            <w:r w:rsidR="00815C55">
              <w:rPr>
                <w:noProof/>
                <w:webHidden/>
              </w:rPr>
              <w:fldChar w:fldCharType="end"/>
            </w:r>
          </w:hyperlink>
        </w:p>
        <w:p w:rsidR="00815C55" w:rsidRDefault="00545C60">
          <w:pPr>
            <w:pStyle w:val="Sumrio1"/>
            <w:tabs>
              <w:tab w:val="left" w:pos="660"/>
              <w:tab w:val="right" w:leader="dot" w:pos="8494"/>
            </w:tabs>
            <w:rPr>
              <w:rFonts w:eastAsiaTheme="minorEastAsia"/>
              <w:noProof/>
              <w:lang w:eastAsia="pt-BR"/>
            </w:rPr>
          </w:pPr>
          <w:hyperlink w:anchor="_Toc467598734" w:history="1">
            <w:r w:rsidR="00815C55" w:rsidRPr="00D31853">
              <w:rPr>
                <w:rStyle w:val="Hyperlink"/>
                <w:rFonts w:asciiTheme="majorHAnsi" w:hAnsiTheme="majorHAnsi"/>
                <w:noProof/>
              </w:rPr>
              <w:t>11.</w:t>
            </w:r>
            <w:r w:rsidR="00815C55">
              <w:rPr>
                <w:rFonts w:eastAsiaTheme="minorEastAsia"/>
                <w:noProof/>
                <w:lang w:eastAsia="pt-BR"/>
              </w:rPr>
              <w:tab/>
            </w:r>
            <w:r w:rsidR="00815C55" w:rsidRPr="00D31853">
              <w:rPr>
                <w:rStyle w:val="Hyperlink"/>
                <w:rFonts w:asciiTheme="majorHAnsi" w:hAnsiTheme="majorHAnsi"/>
                <w:noProof/>
              </w:rPr>
              <w:t>DISPOSIÇÕES GERAIS</w:t>
            </w:r>
            <w:r w:rsidR="00815C55">
              <w:rPr>
                <w:noProof/>
                <w:webHidden/>
              </w:rPr>
              <w:tab/>
            </w:r>
            <w:r w:rsidR="00815C55">
              <w:rPr>
                <w:noProof/>
                <w:webHidden/>
              </w:rPr>
              <w:fldChar w:fldCharType="begin"/>
            </w:r>
            <w:r w:rsidR="00815C55">
              <w:rPr>
                <w:noProof/>
                <w:webHidden/>
              </w:rPr>
              <w:instrText xml:space="preserve"> PAGEREF _Toc467598734 \h </w:instrText>
            </w:r>
            <w:r w:rsidR="00815C55">
              <w:rPr>
                <w:noProof/>
                <w:webHidden/>
              </w:rPr>
            </w:r>
            <w:r w:rsidR="00815C55">
              <w:rPr>
                <w:noProof/>
                <w:webHidden/>
              </w:rPr>
              <w:fldChar w:fldCharType="separate"/>
            </w:r>
            <w:r w:rsidR="00815C55">
              <w:rPr>
                <w:noProof/>
                <w:webHidden/>
              </w:rPr>
              <w:t>18</w:t>
            </w:r>
            <w:r w:rsidR="00815C55">
              <w:rPr>
                <w:noProof/>
                <w:webHidden/>
              </w:rPr>
              <w:fldChar w:fldCharType="end"/>
            </w:r>
          </w:hyperlink>
        </w:p>
        <w:p w:rsidR="00815C55" w:rsidRDefault="00545C60">
          <w:pPr>
            <w:pStyle w:val="Sumrio1"/>
            <w:tabs>
              <w:tab w:val="right" w:leader="dot" w:pos="8494"/>
            </w:tabs>
            <w:rPr>
              <w:rFonts w:eastAsiaTheme="minorEastAsia"/>
              <w:noProof/>
              <w:lang w:eastAsia="pt-BR"/>
            </w:rPr>
          </w:pPr>
          <w:hyperlink w:anchor="_Toc467598735" w:history="1">
            <w:r w:rsidR="00815C55" w:rsidRPr="00D31853">
              <w:rPr>
                <w:rStyle w:val="Hyperlink"/>
                <w:rFonts w:asciiTheme="majorHAnsi" w:hAnsiTheme="majorHAnsi"/>
                <w:noProof/>
              </w:rPr>
              <w:t>DISCLAIMER</w:t>
            </w:r>
            <w:r w:rsidR="00815C55">
              <w:rPr>
                <w:noProof/>
                <w:webHidden/>
              </w:rPr>
              <w:tab/>
            </w:r>
            <w:r w:rsidR="00815C55">
              <w:rPr>
                <w:noProof/>
                <w:webHidden/>
              </w:rPr>
              <w:fldChar w:fldCharType="begin"/>
            </w:r>
            <w:r w:rsidR="00815C55">
              <w:rPr>
                <w:noProof/>
                <w:webHidden/>
              </w:rPr>
              <w:instrText xml:space="preserve"> PAGEREF _Toc467598735 \h </w:instrText>
            </w:r>
            <w:r w:rsidR="00815C55">
              <w:rPr>
                <w:noProof/>
                <w:webHidden/>
              </w:rPr>
            </w:r>
            <w:r w:rsidR="00815C55">
              <w:rPr>
                <w:noProof/>
                <w:webHidden/>
              </w:rPr>
              <w:fldChar w:fldCharType="separate"/>
            </w:r>
            <w:r w:rsidR="00815C55">
              <w:rPr>
                <w:noProof/>
                <w:webHidden/>
              </w:rPr>
              <w:t>19</w:t>
            </w:r>
            <w:r w:rsidR="00815C55">
              <w:rPr>
                <w:noProof/>
                <w:webHidden/>
              </w:rPr>
              <w:fldChar w:fldCharType="end"/>
            </w:r>
          </w:hyperlink>
        </w:p>
        <w:p w:rsidR="00CC3E23" w:rsidRPr="001A464C" w:rsidRDefault="00CC3E23" w:rsidP="001A464C">
          <w:pPr>
            <w:spacing w:beforeLines="120" w:before="288" w:after="0" w:line="240" w:lineRule="auto"/>
            <w:jc w:val="both"/>
            <w:rPr>
              <w:rFonts w:asciiTheme="majorHAnsi" w:hAnsiTheme="majorHAnsi"/>
              <w:sz w:val="20"/>
              <w:szCs w:val="20"/>
            </w:rPr>
          </w:pPr>
          <w:r w:rsidRPr="00DA46DB">
            <w:rPr>
              <w:bCs/>
              <w:color w:val="7F7F7F" w:themeColor="text1" w:themeTint="80"/>
            </w:rPr>
            <w:fldChar w:fldCharType="end"/>
          </w:r>
        </w:p>
      </w:sdtContent>
    </w:sdt>
    <w:p w:rsidR="00FF26AD" w:rsidRDefault="00FF26AD" w:rsidP="001A464C">
      <w:pPr>
        <w:spacing w:beforeLines="120" w:before="288" w:after="0" w:line="240" w:lineRule="auto"/>
        <w:jc w:val="both"/>
        <w:rPr>
          <w:rFonts w:asciiTheme="majorHAnsi" w:hAnsiTheme="majorHAnsi"/>
          <w:sz w:val="20"/>
          <w:szCs w:val="20"/>
        </w:rPr>
      </w:pPr>
    </w:p>
    <w:p w:rsidR="001A464C" w:rsidRDefault="001A464C" w:rsidP="001A464C">
      <w:pPr>
        <w:spacing w:beforeLines="120" w:before="288" w:after="0" w:line="240" w:lineRule="auto"/>
        <w:jc w:val="both"/>
        <w:rPr>
          <w:rFonts w:asciiTheme="majorHAnsi" w:hAnsiTheme="majorHAnsi"/>
          <w:sz w:val="20"/>
          <w:szCs w:val="20"/>
        </w:rPr>
      </w:pPr>
    </w:p>
    <w:p w:rsidR="001A464C" w:rsidRDefault="001A464C" w:rsidP="001A464C">
      <w:pPr>
        <w:spacing w:beforeLines="120" w:before="288" w:after="0" w:line="240" w:lineRule="auto"/>
        <w:jc w:val="both"/>
        <w:rPr>
          <w:rFonts w:asciiTheme="majorHAnsi" w:hAnsiTheme="majorHAnsi"/>
          <w:sz w:val="20"/>
          <w:szCs w:val="20"/>
        </w:rPr>
      </w:pPr>
    </w:p>
    <w:p w:rsidR="00DA46DB" w:rsidRDefault="00DA46DB" w:rsidP="001A464C">
      <w:pPr>
        <w:spacing w:beforeLines="120" w:before="288" w:after="0" w:line="240" w:lineRule="auto"/>
        <w:jc w:val="both"/>
        <w:rPr>
          <w:rFonts w:asciiTheme="majorHAnsi" w:hAnsiTheme="majorHAnsi"/>
          <w:sz w:val="20"/>
          <w:szCs w:val="20"/>
        </w:rPr>
      </w:pPr>
    </w:p>
    <w:p w:rsidR="00CB1E8E" w:rsidRPr="00C7281C" w:rsidRDefault="00CB1E8E" w:rsidP="001A464C">
      <w:pPr>
        <w:pStyle w:val="Ttulo1"/>
        <w:numPr>
          <w:ilvl w:val="0"/>
          <w:numId w:val="6"/>
        </w:numPr>
        <w:spacing w:beforeLines="120" w:before="288" w:line="240" w:lineRule="auto"/>
        <w:ind w:left="0" w:firstLine="0"/>
        <w:jc w:val="both"/>
        <w:rPr>
          <w:rFonts w:asciiTheme="majorHAnsi" w:hAnsiTheme="majorHAnsi"/>
          <w:color w:val="ED7D31"/>
          <w:sz w:val="20"/>
          <w:szCs w:val="20"/>
        </w:rPr>
      </w:pPr>
      <w:bookmarkStart w:id="1" w:name="_Toc435202736"/>
      <w:bookmarkStart w:id="2" w:name="_Toc467598716"/>
      <w:r w:rsidRPr="00C7281C">
        <w:rPr>
          <w:rFonts w:asciiTheme="majorHAnsi" w:hAnsiTheme="majorHAnsi"/>
          <w:color w:val="ED7D31"/>
          <w:sz w:val="20"/>
          <w:szCs w:val="20"/>
        </w:rPr>
        <w:lastRenderedPageBreak/>
        <w:t>INTRODUÇÃO</w:t>
      </w:r>
      <w:bookmarkEnd w:id="1"/>
      <w:bookmarkEnd w:id="2"/>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Atendendo à Resolução do Conselho Monetário Nacional - CMN nº 3.922, de 25 de novembro de 2010, alterada pela Resolução CMN n° 4.392, de 19 de dezembro de 2014, doravante denominada simplesmente “R</w:t>
      </w:r>
      <w:r w:rsidR="00D71000" w:rsidRPr="001A464C">
        <w:rPr>
          <w:rFonts w:asciiTheme="majorHAnsi" w:hAnsiTheme="majorHAnsi"/>
          <w:bCs/>
          <w:color w:val="7F7F7F" w:themeColor="text1" w:themeTint="80"/>
          <w:sz w:val="20"/>
          <w:szCs w:val="20"/>
        </w:rPr>
        <w:t>esolução CMN nº 3.922/2010”, o Comitê de I</w:t>
      </w:r>
      <w:r w:rsidRPr="001A464C">
        <w:rPr>
          <w:rFonts w:asciiTheme="majorHAnsi" w:hAnsiTheme="majorHAnsi"/>
          <w:bCs/>
          <w:color w:val="7F7F7F" w:themeColor="text1" w:themeTint="80"/>
          <w:sz w:val="20"/>
          <w:szCs w:val="20"/>
        </w:rPr>
        <w:t xml:space="preserve">nvestimentos do </w:t>
      </w:r>
      <w:r w:rsidR="002B719F" w:rsidRPr="002B719F">
        <w:rPr>
          <w:rFonts w:asciiTheme="majorHAnsi" w:hAnsiTheme="majorHAnsi"/>
          <w:bCs/>
          <w:color w:val="7F7F7F" w:themeColor="text1" w:themeTint="80"/>
          <w:sz w:val="20"/>
          <w:szCs w:val="20"/>
        </w:rPr>
        <w:t>INSTITUTO DE PREVIDÊNCIA DO SERVIDOR MUNICIPAL DE TAQUARITINGA</w:t>
      </w:r>
      <w:r w:rsidRPr="001A464C">
        <w:rPr>
          <w:rFonts w:asciiTheme="majorHAnsi" w:hAnsiTheme="majorHAnsi"/>
          <w:bCs/>
          <w:color w:val="7F7F7F" w:themeColor="text1" w:themeTint="80"/>
          <w:sz w:val="20"/>
          <w:szCs w:val="20"/>
        </w:rPr>
        <w:t>, apresenta sua Política de Invest</w:t>
      </w:r>
      <w:r w:rsidR="00D71000" w:rsidRPr="001A464C">
        <w:rPr>
          <w:rFonts w:asciiTheme="majorHAnsi" w:hAnsiTheme="majorHAnsi"/>
          <w:bCs/>
          <w:color w:val="7F7F7F" w:themeColor="text1" w:themeTint="80"/>
          <w:sz w:val="20"/>
          <w:szCs w:val="20"/>
        </w:rPr>
        <w:t>imentos para o exercício de 201</w:t>
      </w:r>
      <w:r w:rsidR="00864AC5" w:rsidRPr="001A464C">
        <w:rPr>
          <w:rFonts w:asciiTheme="majorHAnsi" w:hAnsiTheme="majorHAnsi"/>
          <w:bCs/>
          <w:color w:val="7F7F7F" w:themeColor="text1" w:themeTint="80"/>
          <w:sz w:val="20"/>
          <w:szCs w:val="20"/>
        </w:rPr>
        <w:t>7</w:t>
      </w:r>
      <w:r w:rsidRPr="001A464C">
        <w:rPr>
          <w:rFonts w:asciiTheme="majorHAnsi" w:hAnsiTheme="majorHAnsi"/>
          <w:bCs/>
          <w:color w:val="7F7F7F" w:themeColor="text1" w:themeTint="80"/>
          <w:sz w:val="20"/>
          <w:szCs w:val="20"/>
        </w:rPr>
        <w:t>, aprovada por seu órgão superior competente.</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A elaboração da Política de Investimentos representa uma formalidade legal que fundamenta e norteia todo</w:t>
      </w:r>
      <w:r w:rsidR="00BD4655" w:rsidRPr="001A464C">
        <w:rPr>
          <w:rFonts w:asciiTheme="majorHAnsi" w:hAnsiTheme="majorHAnsi"/>
          <w:bCs/>
          <w:color w:val="7F7F7F" w:themeColor="text1" w:themeTint="80"/>
          <w:sz w:val="20"/>
          <w:szCs w:val="20"/>
        </w:rPr>
        <w:t>s</w:t>
      </w:r>
      <w:r w:rsidRPr="001A464C">
        <w:rPr>
          <w:rFonts w:asciiTheme="majorHAnsi" w:hAnsiTheme="majorHAnsi"/>
          <w:bCs/>
          <w:color w:val="7F7F7F" w:themeColor="text1" w:themeTint="80"/>
          <w:sz w:val="20"/>
          <w:szCs w:val="20"/>
        </w:rPr>
        <w:t xml:space="preserve"> o</w:t>
      </w:r>
      <w:r w:rsidR="00BD4655" w:rsidRPr="001A464C">
        <w:rPr>
          <w:rFonts w:asciiTheme="majorHAnsi" w:hAnsiTheme="majorHAnsi"/>
          <w:bCs/>
          <w:color w:val="7F7F7F" w:themeColor="text1" w:themeTint="80"/>
          <w:sz w:val="20"/>
          <w:szCs w:val="20"/>
        </w:rPr>
        <w:t>s</w:t>
      </w:r>
      <w:r w:rsidRPr="001A464C">
        <w:rPr>
          <w:rFonts w:asciiTheme="majorHAnsi" w:hAnsiTheme="majorHAnsi"/>
          <w:bCs/>
          <w:color w:val="7F7F7F" w:themeColor="text1" w:themeTint="80"/>
          <w:sz w:val="20"/>
          <w:szCs w:val="20"/>
        </w:rPr>
        <w:t xml:space="preserve"> processo</w:t>
      </w:r>
      <w:r w:rsidR="00BD4655" w:rsidRPr="001A464C">
        <w:rPr>
          <w:rFonts w:asciiTheme="majorHAnsi" w:hAnsiTheme="majorHAnsi"/>
          <w:bCs/>
          <w:color w:val="7F7F7F" w:themeColor="text1" w:themeTint="80"/>
          <w:sz w:val="20"/>
          <w:szCs w:val="20"/>
        </w:rPr>
        <w:t>s de tomada de decisões</w:t>
      </w:r>
      <w:r w:rsidRPr="001A464C">
        <w:rPr>
          <w:rFonts w:asciiTheme="majorHAnsi" w:hAnsiTheme="majorHAnsi"/>
          <w:bCs/>
          <w:color w:val="7F7F7F" w:themeColor="text1" w:themeTint="80"/>
          <w:sz w:val="20"/>
          <w:szCs w:val="20"/>
        </w:rPr>
        <w:t xml:space="preserve"> relativo aos investimentos dos Regimes Próprios de Previdência Social – RPPS’s, empregada como instrumento necessário para garantir a consistência da gestão dos recursos em busca do equilíbrio econômico-financeiro.</w:t>
      </w:r>
    </w:p>
    <w:p w:rsidR="00CB1E8E"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Os fundamentos para a elaboração da presente Política de Investimentos estão centrados em critérios técnicos de grande relevância. Ressalta-se que o principal a ser observado, para que se trabalhe com parâmetros sólidos, é aquele referente à análise do fluxo de caixa atuarial da entidade, ou seja, o equilíbrio entre ativo e passivo, levando-se em consideração as reservas técnicas atuariais (ativos) e as reservas matemáticas (passivo) projetadas pelo cálculo atuarial.</w:t>
      </w:r>
    </w:p>
    <w:p w:rsidR="001A464C" w:rsidRPr="001A464C" w:rsidRDefault="001A464C" w:rsidP="001A464C">
      <w:pPr>
        <w:spacing w:beforeLines="120" w:before="288" w:after="0" w:line="240" w:lineRule="auto"/>
        <w:jc w:val="both"/>
        <w:rPr>
          <w:rFonts w:asciiTheme="majorHAnsi" w:hAnsiTheme="majorHAnsi"/>
          <w:bCs/>
          <w:color w:val="7F7F7F" w:themeColor="text1" w:themeTint="80"/>
          <w:sz w:val="20"/>
          <w:szCs w:val="20"/>
        </w:rPr>
      </w:pPr>
    </w:p>
    <w:p w:rsidR="00CB1E8E" w:rsidRPr="00C7281C" w:rsidRDefault="00CB1E8E" w:rsidP="001A464C">
      <w:pPr>
        <w:pStyle w:val="Ttulo1"/>
        <w:numPr>
          <w:ilvl w:val="0"/>
          <w:numId w:val="6"/>
        </w:numPr>
        <w:spacing w:beforeLines="120" w:before="288" w:line="240" w:lineRule="auto"/>
        <w:ind w:left="0" w:firstLine="0"/>
        <w:jc w:val="both"/>
        <w:rPr>
          <w:rFonts w:asciiTheme="majorHAnsi" w:hAnsiTheme="majorHAnsi"/>
          <w:color w:val="ED7D31"/>
          <w:sz w:val="20"/>
          <w:szCs w:val="20"/>
        </w:rPr>
      </w:pPr>
      <w:bookmarkStart w:id="3" w:name="_Toc435202737"/>
      <w:bookmarkStart w:id="4" w:name="_Toc467598717"/>
      <w:r w:rsidRPr="00C7281C">
        <w:rPr>
          <w:rFonts w:asciiTheme="majorHAnsi" w:hAnsiTheme="majorHAnsi"/>
          <w:color w:val="ED7D31"/>
          <w:sz w:val="20"/>
          <w:szCs w:val="20"/>
        </w:rPr>
        <w:t>OBJETIVO</w:t>
      </w:r>
      <w:bookmarkEnd w:id="3"/>
      <w:bookmarkEnd w:id="4"/>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 xml:space="preserve">A Política de Investimentos do </w:t>
      </w:r>
      <w:r w:rsidR="002B719F" w:rsidRPr="002B719F">
        <w:rPr>
          <w:rFonts w:asciiTheme="majorHAnsi" w:hAnsiTheme="majorHAnsi"/>
          <w:bCs/>
          <w:color w:val="7F7F7F" w:themeColor="text1" w:themeTint="80"/>
          <w:sz w:val="20"/>
          <w:szCs w:val="20"/>
        </w:rPr>
        <w:t>INSTITUTO DE PREVIDÊNCIA DO SERVIDOR MUNICIPAL DE TAQUARITINGA</w:t>
      </w:r>
      <w:r w:rsidR="002B719F" w:rsidRPr="001A464C">
        <w:rPr>
          <w:rFonts w:asciiTheme="majorHAnsi" w:hAnsiTheme="majorHAnsi"/>
          <w:bCs/>
          <w:color w:val="7F7F7F" w:themeColor="text1" w:themeTint="80"/>
          <w:sz w:val="20"/>
          <w:szCs w:val="20"/>
        </w:rPr>
        <w:t xml:space="preserve"> </w:t>
      </w:r>
      <w:r w:rsidRPr="001A464C">
        <w:rPr>
          <w:rFonts w:asciiTheme="majorHAnsi" w:hAnsiTheme="majorHAnsi"/>
          <w:bCs/>
          <w:color w:val="7F7F7F" w:themeColor="text1" w:themeTint="80"/>
          <w:sz w:val="20"/>
          <w:szCs w:val="20"/>
        </w:rPr>
        <w:t>tem como objetivo estabelecer as diretrizes das aplicações dos recursos garantidores dos pagamentos dos segurados e beneficiários do regime, visando atingir a meta atuarial definida para garantir a manutenção do seu equilíbrio econômico-financeiro e atuarial, tendo sempre presentes os princípios da boa governança, da segurança, rentabilidade, solvência, liquidez e transparência.</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 xml:space="preserve">A Política de Investimentos tem ainda, como objetivo específico, zelar pela eficiência na condução das operações relativas às aplicações dos recursos, buscando alocar os investimentos em instituições que possuam as seguintes características: </w:t>
      </w:r>
      <w:r w:rsidRPr="001A464C">
        <w:rPr>
          <w:rFonts w:asciiTheme="majorHAnsi" w:hAnsiTheme="majorHAnsi"/>
          <w:b/>
          <w:bCs/>
          <w:color w:val="7F7F7F" w:themeColor="text1" w:themeTint="80"/>
          <w:sz w:val="20"/>
          <w:szCs w:val="20"/>
        </w:rPr>
        <w:t xml:space="preserve">solidez patrimonial, experiência positiva no exercício da atividade de administração </w:t>
      </w:r>
      <w:r w:rsidR="00707BB0" w:rsidRPr="001A464C">
        <w:rPr>
          <w:rFonts w:asciiTheme="majorHAnsi" w:hAnsiTheme="majorHAnsi"/>
          <w:b/>
          <w:bCs/>
          <w:color w:val="7F7F7F" w:themeColor="text1" w:themeTint="80"/>
          <w:sz w:val="20"/>
          <w:szCs w:val="20"/>
        </w:rPr>
        <w:t xml:space="preserve">e gestão </w:t>
      </w:r>
      <w:r w:rsidRPr="001A464C">
        <w:rPr>
          <w:rFonts w:asciiTheme="majorHAnsi" w:hAnsiTheme="majorHAnsi"/>
          <w:b/>
          <w:bCs/>
          <w:color w:val="7F7F7F" w:themeColor="text1" w:themeTint="80"/>
          <w:sz w:val="20"/>
          <w:szCs w:val="20"/>
        </w:rPr>
        <w:t>de grandes volumes de recursos e em ativos com adequada relação risco X retorno</w:t>
      </w:r>
      <w:r w:rsidRPr="001A464C">
        <w:rPr>
          <w:rFonts w:asciiTheme="majorHAnsi" w:hAnsiTheme="majorHAnsi"/>
          <w:bCs/>
          <w:color w:val="7F7F7F" w:themeColor="text1" w:themeTint="80"/>
          <w:sz w:val="20"/>
          <w:szCs w:val="20"/>
        </w:rPr>
        <w:t>.</w:t>
      </w:r>
    </w:p>
    <w:p w:rsidR="00CB1E8E"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Para cumprimento do objetivo específico e considerando as perspectivas do cenário econômico, a política estabelecerá a modalidade e os limites legais e operacionais, buscando a mais adequada alocação dos ativos, à vista do perfil do passivo no curto, médio e longo prazo, atendendo aos requisitos da Resolução CMN nº 3.922/2010.</w:t>
      </w:r>
    </w:p>
    <w:p w:rsidR="001A464C" w:rsidRPr="001A464C" w:rsidRDefault="001A464C" w:rsidP="001A464C">
      <w:pPr>
        <w:spacing w:beforeLines="120" w:before="288" w:after="0" w:line="240" w:lineRule="auto"/>
        <w:jc w:val="both"/>
        <w:rPr>
          <w:rFonts w:asciiTheme="majorHAnsi" w:hAnsiTheme="majorHAnsi"/>
          <w:bCs/>
          <w:color w:val="7F7F7F" w:themeColor="text1" w:themeTint="80"/>
          <w:sz w:val="20"/>
          <w:szCs w:val="20"/>
        </w:rPr>
      </w:pPr>
    </w:p>
    <w:p w:rsidR="00687BFD" w:rsidRPr="00C7281C" w:rsidRDefault="00CB1E8E" w:rsidP="001A464C">
      <w:pPr>
        <w:pStyle w:val="Ttulo1"/>
        <w:numPr>
          <w:ilvl w:val="0"/>
          <w:numId w:val="6"/>
        </w:numPr>
        <w:spacing w:beforeLines="120" w:before="288" w:line="240" w:lineRule="auto"/>
        <w:ind w:left="0" w:firstLine="0"/>
        <w:jc w:val="both"/>
        <w:rPr>
          <w:rFonts w:asciiTheme="majorHAnsi" w:hAnsiTheme="majorHAnsi"/>
          <w:color w:val="ED7D31"/>
          <w:sz w:val="20"/>
          <w:szCs w:val="20"/>
        </w:rPr>
      </w:pPr>
      <w:bookmarkStart w:id="5" w:name="_Toc435202738"/>
      <w:bookmarkStart w:id="6" w:name="_Toc467598718"/>
      <w:r w:rsidRPr="00C7281C">
        <w:rPr>
          <w:rFonts w:asciiTheme="majorHAnsi" w:hAnsiTheme="majorHAnsi"/>
          <w:color w:val="ED7D31"/>
          <w:sz w:val="20"/>
          <w:szCs w:val="20"/>
        </w:rPr>
        <w:t>CENÁRIO ECONÔMICO PARA O EXERCÍCIO DE 201</w:t>
      </w:r>
      <w:bookmarkStart w:id="7" w:name="_Toc435202739"/>
      <w:bookmarkEnd w:id="5"/>
      <w:r w:rsidR="00864AC5" w:rsidRPr="00C7281C">
        <w:rPr>
          <w:rFonts w:asciiTheme="majorHAnsi" w:hAnsiTheme="majorHAnsi"/>
          <w:color w:val="ED7D31"/>
          <w:sz w:val="20"/>
          <w:szCs w:val="20"/>
        </w:rPr>
        <w:t>7</w:t>
      </w:r>
      <w:bookmarkEnd w:id="6"/>
    </w:p>
    <w:p w:rsidR="00687BFD" w:rsidRPr="00C7281C" w:rsidRDefault="00687BFD" w:rsidP="005753DA">
      <w:pPr>
        <w:pStyle w:val="Ttulo2"/>
        <w:numPr>
          <w:ilvl w:val="1"/>
          <w:numId w:val="6"/>
        </w:numPr>
        <w:spacing w:before="120" w:line="240" w:lineRule="auto"/>
        <w:ind w:left="0" w:firstLine="0"/>
        <w:jc w:val="both"/>
        <w:rPr>
          <w:color w:val="ED7D31"/>
          <w:sz w:val="20"/>
          <w:szCs w:val="20"/>
        </w:rPr>
      </w:pPr>
      <w:bookmarkStart w:id="8" w:name="_Toc467598719"/>
      <w:bookmarkEnd w:id="7"/>
      <w:r w:rsidRPr="00C7281C">
        <w:rPr>
          <w:color w:val="ED7D31"/>
          <w:sz w:val="20"/>
          <w:szCs w:val="20"/>
        </w:rPr>
        <w:t>INTERNACIONAL</w:t>
      </w:r>
      <w:r w:rsidR="009C426F" w:rsidRPr="00C7281C">
        <w:rPr>
          <w:color w:val="ED7D31"/>
          <w:sz w:val="20"/>
          <w:szCs w:val="20"/>
        </w:rPr>
        <w:t xml:space="preserve"> - PERSPECTIVAS</w:t>
      </w:r>
      <w:bookmarkEnd w:id="8"/>
    </w:p>
    <w:p w:rsidR="005753DA" w:rsidRPr="00DA46DB" w:rsidRDefault="005753DA"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 xml:space="preserve">Para o OCDE - </w:t>
      </w:r>
      <w:r w:rsidR="009C426F" w:rsidRPr="00DA46DB">
        <w:rPr>
          <w:bCs/>
          <w:color w:val="7F7F7F" w:themeColor="text1" w:themeTint="80"/>
          <w:sz w:val="20"/>
          <w:szCs w:val="20"/>
        </w:rPr>
        <w:t>Organização</w:t>
      </w:r>
      <w:r w:rsidRPr="00DA46DB">
        <w:rPr>
          <w:bCs/>
          <w:color w:val="7F7F7F" w:themeColor="text1" w:themeTint="80"/>
          <w:sz w:val="20"/>
          <w:szCs w:val="20"/>
        </w:rPr>
        <w:t xml:space="preserve"> para a</w:t>
      </w:r>
      <w:r w:rsidR="009C426F" w:rsidRPr="00DA46DB">
        <w:rPr>
          <w:bCs/>
          <w:color w:val="7F7F7F" w:themeColor="text1" w:themeTint="80"/>
          <w:sz w:val="20"/>
          <w:szCs w:val="20"/>
        </w:rPr>
        <w:t xml:space="preserve"> Cooperação e Desenvolvimento Econômico, os bancos centrais mundiais estão perto de suas capacidades para estimular o crescimento econômico global. Para o Banco de Compensações Internacionais – BIS, os bancos centrais deveriam aprender a viver com taxas de inflação abaixo de suas metas, em vez de alimentarem o crescimento da dívida com políticas de estímulos cada vez mais agressivas.</w:t>
      </w:r>
    </w:p>
    <w:p w:rsidR="005753DA" w:rsidRPr="00DA46DB" w:rsidRDefault="009C426F"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lastRenderedPageBreak/>
        <w:t>Em seu relatório denominado Perspectiva Econômica Mundial, divulgado já no mês de outubro, o FMI estimou que o crescimento global em 2016 será de 3,1% e não mais 3,4%, conforme a estimativa anterior. Para 2017, também reduziu a expectativa para um crescimento de 3,4% e não mais 3,5%.</w:t>
      </w:r>
    </w:p>
    <w:p w:rsidR="005753DA" w:rsidRPr="00DA46DB" w:rsidRDefault="009C426F"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 xml:space="preserve">Portanto, o crescimento mundial será um pouco maior por conta de melhoras nas economias emergentes e em desenvolvimento, com alguma recuperação das </w:t>
      </w:r>
      <w:r w:rsidRPr="00DA46DB">
        <w:rPr>
          <w:bCs/>
          <w:i/>
          <w:color w:val="7F7F7F" w:themeColor="text1" w:themeTint="80"/>
          <w:sz w:val="20"/>
          <w:szCs w:val="20"/>
        </w:rPr>
        <w:t>commodities</w:t>
      </w:r>
      <w:r w:rsidRPr="00DA46DB">
        <w:rPr>
          <w:bCs/>
          <w:color w:val="7F7F7F" w:themeColor="text1" w:themeTint="80"/>
          <w:sz w:val="20"/>
          <w:szCs w:val="20"/>
        </w:rPr>
        <w:t xml:space="preserve"> e pela retomada da economia americana, por conta de maiores investimentos. Para as economias desenvolvidas, exceto os EUA e principalmente as europeias, as perspectivas não se alterem muito em relação ao momento atual. Os juros e a inflação continuarão muito baixos. O crescimento das economias desenvolvidas como um todo terá leve aceleração e irá de </w:t>
      </w:r>
      <w:r w:rsidR="005753DA" w:rsidRPr="00DA46DB">
        <w:rPr>
          <w:bCs/>
          <w:color w:val="7F7F7F" w:themeColor="text1" w:themeTint="80"/>
          <w:sz w:val="20"/>
          <w:szCs w:val="20"/>
        </w:rPr>
        <w:t>1,6% em 2016 para 1,8% em 2017.</w:t>
      </w:r>
    </w:p>
    <w:p w:rsidR="005753DA" w:rsidRPr="00DA46DB" w:rsidRDefault="009C426F"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Em relação à zona do euro, o FMI aumentou a expectativa de crescimento do PIB de 1,6% para 1,7% em 2016 e de 1,4% para 1,5% em 2017. Para a economia alemã, a maior do bloco, estimou também 1,7% em 2016 e 1,4% em 2017. Para a economia francesa estimou um crescimento de 1,3%, este ano e de 1,3% no próximo. Para a italiana, 0,8% e 0,9% e para a espanhola 3,1% e 2,2%, respectivamente.</w:t>
      </w:r>
    </w:p>
    <w:p w:rsidR="005753DA" w:rsidRPr="00DA46DB" w:rsidRDefault="009C426F"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Para o Reino Unido, membro da União Europeia, o FMI aumentou a sua estimativa para a evolução do PIB, em 2016, de 1,7% para 1,8% e por conta do Brexit diminuiu a de 2017 de 1,3% para 1,1%. Já para a Rússia, país emergente do continente europeu, o FMI projetou a queda da atividade de 0,8% para este ano e uma alta de 1,1% para o próximo.</w:t>
      </w:r>
    </w:p>
    <w:p w:rsidR="005753DA" w:rsidRPr="00DA46DB" w:rsidRDefault="009C426F"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A principal preocupação para 2017 repousa na evolução da política monetária, já que o programa de compra de ativos do BCE deverá terminar em março. Ainda faz parte do temor dos economistas a deflação e as perdas que as instituições financeiras estão tendo com os juros negativos.</w:t>
      </w:r>
    </w:p>
    <w:p w:rsidR="005753DA" w:rsidRPr="00DA46DB" w:rsidRDefault="009C426F"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O FMI acredita que a economia americana crescerá 1,6% em 2016 e 2,2% em 2017.</w:t>
      </w:r>
    </w:p>
    <w:p w:rsidR="005753DA" w:rsidRPr="00DA46DB" w:rsidRDefault="009C426F"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 xml:space="preserve">Prestes a passar por uma eleição presidencial, o mercado financeiro acredita que a nova chefia nos EUA vai ser praticamente igual a anterior. Na hipótese de uma vitória republicana, o revés nos mercados poderia ser significativo. Enquanto isso é aguardada a próxima movimentação em direção à taxa de juros. </w:t>
      </w:r>
    </w:p>
    <w:p w:rsidR="005753DA" w:rsidRPr="00DA46DB" w:rsidRDefault="009C426F"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 xml:space="preserve">É possível deduzir, de comunicados do FED, que a elevação da taxa básica deverá se dar até o final deste ano e que em 2017 os aumentos se darão de forma bem gradual, tendo sido sugeridas duas elevações de taxa durante o ano. Dessa forma o impacto nos mercados emergentes poderá não ser significativo, em termos de precificação e volatilidade. </w:t>
      </w:r>
    </w:p>
    <w:p w:rsidR="005753DA" w:rsidRPr="00DA46DB" w:rsidRDefault="009C426F"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O mercado de trabalho deverá permanecer robusto e é esperado um aumento dos salários com a sua consolidação. A dúvida ainda repousa no comportamento da inflação, que parece aum</w:t>
      </w:r>
      <w:r w:rsidR="005753DA" w:rsidRPr="00DA46DB">
        <w:rPr>
          <w:bCs/>
          <w:color w:val="7F7F7F" w:themeColor="text1" w:themeTint="80"/>
          <w:sz w:val="20"/>
          <w:szCs w:val="20"/>
        </w:rPr>
        <w:t>entar.</w:t>
      </w:r>
    </w:p>
    <w:p w:rsidR="005753DA" w:rsidRPr="00DA46DB" w:rsidRDefault="009C426F"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Para a China, o FMI projeta uma evolução do PIB de 6,6% em 2016 e de 6,2% em 2017.</w:t>
      </w:r>
      <w:r w:rsidR="009F5533" w:rsidRPr="00DA46DB">
        <w:rPr>
          <w:bCs/>
          <w:color w:val="7F7F7F" w:themeColor="text1" w:themeTint="80"/>
          <w:sz w:val="20"/>
          <w:szCs w:val="20"/>
        </w:rPr>
        <w:t xml:space="preserve"> Já</w:t>
      </w:r>
      <w:r w:rsidRPr="00DA46DB">
        <w:rPr>
          <w:bCs/>
          <w:color w:val="7F7F7F" w:themeColor="text1" w:themeTint="80"/>
          <w:sz w:val="20"/>
          <w:szCs w:val="20"/>
        </w:rPr>
        <w:t xml:space="preserve"> o governo, o país precisará de esforços intensos para atingir as metas econômicas anuais, na medida em que a economia continua sob pressão. Permanecem grandes dificuldades para atingir particularmente as metas de investimento e de expansão do comércio interno e internacional, principalmente. A mudança do modelo exportador para o voltado para o consumo interno continuará em progressão, exigindo tempo para a sua consolidação.</w:t>
      </w:r>
    </w:p>
    <w:p w:rsidR="005753DA" w:rsidRPr="00DA46DB" w:rsidRDefault="009C426F"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 xml:space="preserve">Em relação ao Japão, o FMI estimou um crescimento de </w:t>
      </w:r>
      <w:r w:rsidR="005753DA" w:rsidRPr="00DA46DB">
        <w:rPr>
          <w:bCs/>
          <w:color w:val="7F7F7F" w:themeColor="text1" w:themeTint="80"/>
          <w:sz w:val="20"/>
          <w:szCs w:val="20"/>
        </w:rPr>
        <w:t>0,5% em 2016 e de 0,6% em 2017.</w:t>
      </w:r>
    </w:p>
    <w:p w:rsidR="005753DA" w:rsidRPr="00DA46DB" w:rsidRDefault="009C426F"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A dúvida ainda repousa no sucesso do programa de estímulos monetários e n</w:t>
      </w:r>
      <w:r w:rsidR="005753DA" w:rsidRPr="00DA46DB">
        <w:rPr>
          <w:bCs/>
          <w:color w:val="7F7F7F" w:themeColor="text1" w:themeTint="80"/>
          <w:sz w:val="20"/>
          <w:szCs w:val="20"/>
        </w:rPr>
        <w:t xml:space="preserve">a eficácia dos juros negativos. </w:t>
      </w:r>
      <w:r w:rsidRPr="00DA46DB">
        <w:rPr>
          <w:bCs/>
          <w:color w:val="7F7F7F" w:themeColor="text1" w:themeTint="80"/>
          <w:sz w:val="20"/>
          <w:szCs w:val="20"/>
        </w:rPr>
        <w:t>Para a Índia o FMI estimou um crescimento de 7,6% em 2016 e 2017.</w:t>
      </w:r>
    </w:p>
    <w:p w:rsidR="00DA46DB" w:rsidRPr="00DA46DB" w:rsidRDefault="00DA46DB" w:rsidP="00DA46DB">
      <w:pPr>
        <w:spacing w:before="120" w:after="0" w:line="240" w:lineRule="auto"/>
        <w:jc w:val="both"/>
        <w:rPr>
          <w:bCs/>
          <w:color w:val="7F7F7F" w:themeColor="text1" w:themeTint="80"/>
          <w:sz w:val="20"/>
          <w:szCs w:val="20"/>
        </w:rPr>
      </w:pPr>
    </w:p>
    <w:p w:rsidR="005753DA" w:rsidRPr="00C7281C" w:rsidRDefault="005753DA" w:rsidP="00DA46DB">
      <w:pPr>
        <w:spacing w:before="120" w:after="0" w:line="240" w:lineRule="auto"/>
        <w:jc w:val="both"/>
        <w:rPr>
          <w:b/>
          <w:bCs/>
          <w:color w:val="ED7D31"/>
          <w:sz w:val="20"/>
          <w:szCs w:val="20"/>
        </w:rPr>
      </w:pPr>
      <w:r w:rsidRPr="00C7281C">
        <w:rPr>
          <w:b/>
          <w:bCs/>
          <w:color w:val="ED7D31"/>
          <w:sz w:val="20"/>
          <w:szCs w:val="20"/>
        </w:rPr>
        <w:t>RENDA FIXA</w:t>
      </w:r>
    </w:p>
    <w:p w:rsidR="005753DA" w:rsidRPr="00DA46DB" w:rsidRDefault="009C426F"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 xml:space="preserve">Para a agência Bloomberg, os juros baixos impulsionam artificialmente os preços dos ativos financeiros e distorcem padrões normais de tomada de riscos nos mercados financeiros. Para a OCDE, as distorções geradas no sistema financeiro pelo prolongamento de um nível excepcionalmente baixo das taxas de </w:t>
      </w:r>
      <w:r w:rsidRPr="00DA46DB">
        <w:rPr>
          <w:bCs/>
          <w:color w:val="7F7F7F" w:themeColor="text1" w:themeTint="80"/>
          <w:sz w:val="20"/>
          <w:szCs w:val="20"/>
        </w:rPr>
        <w:lastRenderedPageBreak/>
        <w:t>juros podem acarretar riscos de bolhas especulativas, que não estariam sendo aproveitadas o suficiente para reaquecer a economia mundial. Por outro lado, com as baixas taxas, a evolução dos preços das ações de bancos, por exemplo, está sendo muito pior do que a de outros setores e a deterioração da rentabilidade dos fundos de previdência é visível.</w:t>
      </w:r>
    </w:p>
    <w:p w:rsidR="005753DA" w:rsidRPr="00DA46DB" w:rsidRDefault="009C426F"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Com a perspectiva que as baixas taxas de juros prevaleçam no mercado internacional, em 2017, o Banco Morgan Stanley acredita ser esse um bom momento para a compra de títulos da dívida de países emergentes como Brasil, China e Índia, que têm</w:t>
      </w:r>
      <w:r w:rsidR="005753DA" w:rsidRPr="00DA46DB">
        <w:rPr>
          <w:bCs/>
          <w:color w:val="7F7F7F" w:themeColor="text1" w:themeTint="80"/>
          <w:sz w:val="20"/>
          <w:szCs w:val="20"/>
        </w:rPr>
        <w:t xml:space="preserve"> taxas de juros significativas.</w:t>
      </w:r>
    </w:p>
    <w:p w:rsidR="005753DA" w:rsidRPr="00DA46DB" w:rsidRDefault="009C426F"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Os títulos corporativos americanos continuarão a atrair os investidores, bem como os títulos emitidos pelo governo dos EUA, por serem emitidos em dólar, que deverá se valorizar com o aumento dos juros e por serem o maior porto seguro dos investidores.</w:t>
      </w:r>
    </w:p>
    <w:p w:rsidR="00DA46DB" w:rsidRPr="00DA46DB" w:rsidRDefault="00DA46DB" w:rsidP="00DA46DB">
      <w:pPr>
        <w:spacing w:before="120" w:after="0" w:line="240" w:lineRule="auto"/>
        <w:jc w:val="both"/>
        <w:rPr>
          <w:bCs/>
          <w:color w:val="7F7F7F" w:themeColor="text1" w:themeTint="80"/>
          <w:sz w:val="20"/>
          <w:szCs w:val="20"/>
        </w:rPr>
      </w:pPr>
    </w:p>
    <w:p w:rsidR="005753DA" w:rsidRPr="00C7281C" w:rsidRDefault="009C426F" w:rsidP="00DA46DB">
      <w:pPr>
        <w:spacing w:before="120" w:after="0" w:line="240" w:lineRule="auto"/>
        <w:jc w:val="both"/>
        <w:rPr>
          <w:b/>
          <w:bCs/>
          <w:color w:val="ED7D31"/>
          <w:sz w:val="20"/>
          <w:szCs w:val="20"/>
        </w:rPr>
      </w:pPr>
      <w:r w:rsidRPr="00C7281C">
        <w:rPr>
          <w:b/>
          <w:bCs/>
          <w:color w:val="ED7D31"/>
          <w:sz w:val="20"/>
          <w:szCs w:val="20"/>
        </w:rPr>
        <w:t>RENDA VARIÁVEL</w:t>
      </w:r>
    </w:p>
    <w:p w:rsidR="005753DA" w:rsidRPr="00DA46DB" w:rsidRDefault="009C426F"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Para o mercado acionário americano, os economistas estão divididos em relação ao futuro. Alguns acreditam que o índice S&amp;P 500, que anda ao redor de 2.100 pontos pode alcançar 2.300 pontos. As ações estariam com preço atraente em relação aos títulos de renda fixa, a preocupação com liquidez é cada vez maior e a expectativa é de que os lucros das empresas subam. Outros acreditam que o mercado já atingiu seu ápice e novas máximas dependerão da política monetária americana e</w:t>
      </w:r>
      <w:r w:rsidR="005753DA" w:rsidRPr="00DA46DB">
        <w:rPr>
          <w:bCs/>
          <w:color w:val="7F7F7F" w:themeColor="text1" w:themeTint="80"/>
          <w:sz w:val="20"/>
          <w:szCs w:val="20"/>
        </w:rPr>
        <w:t xml:space="preserve"> da atividade econômica global.</w:t>
      </w:r>
    </w:p>
    <w:p w:rsidR="00CB1E8E" w:rsidRDefault="009C426F"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Para as bolsas europeias o cenário pode ser adverso, com o fim dos estímulos mensais do BCE e para as bolsas emergentes favorável com alguma recuperação dos preços das commodities e com a maior participação do investidor internacional, em busca de maiores retornos.</w:t>
      </w:r>
    </w:p>
    <w:p w:rsidR="00DA46DB" w:rsidRPr="00DA46DB" w:rsidRDefault="00DA46DB" w:rsidP="00DA46DB">
      <w:pPr>
        <w:spacing w:before="120" w:after="0" w:line="240" w:lineRule="auto"/>
        <w:jc w:val="both"/>
        <w:rPr>
          <w:bCs/>
          <w:color w:val="7F7F7F" w:themeColor="text1" w:themeTint="80"/>
          <w:sz w:val="20"/>
          <w:szCs w:val="20"/>
        </w:rPr>
      </w:pPr>
    </w:p>
    <w:p w:rsidR="00687BFD" w:rsidRPr="00C7281C" w:rsidRDefault="00687BFD" w:rsidP="00DA46DB">
      <w:pPr>
        <w:pStyle w:val="Ttulo2"/>
        <w:numPr>
          <w:ilvl w:val="1"/>
          <w:numId w:val="6"/>
        </w:numPr>
        <w:spacing w:before="120" w:line="240" w:lineRule="auto"/>
        <w:ind w:left="0" w:firstLine="0"/>
        <w:jc w:val="both"/>
        <w:rPr>
          <w:color w:val="ED7D31"/>
          <w:sz w:val="20"/>
          <w:szCs w:val="20"/>
        </w:rPr>
      </w:pPr>
      <w:bookmarkStart w:id="9" w:name="_Toc467598720"/>
      <w:r w:rsidRPr="00C7281C">
        <w:rPr>
          <w:color w:val="ED7D31"/>
          <w:sz w:val="20"/>
          <w:szCs w:val="20"/>
        </w:rPr>
        <w:t>NACIONAL</w:t>
      </w:r>
      <w:r w:rsidR="009C426F" w:rsidRPr="00C7281C">
        <w:rPr>
          <w:color w:val="ED7D31"/>
          <w:sz w:val="20"/>
          <w:szCs w:val="20"/>
        </w:rPr>
        <w:t xml:space="preserve"> </w:t>
      </w:r>
      <w:r w:rsidR="009F5533" w:rsidRPr="00C7281C">
        <w:rPr>
          <w:color w:val="ED7D31"/>
          <w:sz w:val="20"/>
          <w:szCs w:val="20"/>
        </w:rPr>
        <w:t>–</w:t>
      </w:r>
      <w:r w:rsidR="009C426F" w:rsidRPr="00C7281C">
        <w:rPr>
          <w:color w:val="ED7D31"/>
          <w:sz w:val="20"/>
          <w:szCs w:val="20"/>
        </w:rPr>
        <w:t xml:space="preserve"> PERSPECTIVAS</w:t>
      </w:r>
      <w:bookmarkEnd w:id="9"/>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 xml:space="preserve">Para o FMI, o PIB do Brasil irá cair 3,3% em 2016 e terá uma melhora em 2017, quando está prevista uma alta de 0,5%. Para o Banco Central, conforme o Relatório de Inflação, publicado em setembro, a queda do PIB este ano será de 3,3% e a alta no próximo ano será de 1,3%. Para o os economistas que militam no mercado financeiro, conforme revela o último Relatório Focus do Banco Central, de 07 de outubro último, a atividade econômica no país terá uma retração de 3,15% em 2016 e um crescimento de 1,30% em 2017. Já o Ministério da Fazenda, estimou um crescimento de 1,6% no ano que vem, conforme a proposta </w:t>
      </w:r>
      <w:r w:rsidR="00A52149" w:rsidRPr="00DA46DB">
        <w:rPr>
          <w:bCs/>
          <w:color w:val="7F7F7F" w:themeColor="text1" w:themeTint="80"/>
          <w:sz w:val="20"/>
          <w:szCs w:val="20"/>
        </w:rPr>
        <w:t>do orçamento federal para 2017.</w:t>
      </w:r>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 xml:space="preserve">Embora os especialistas no mercado de trabalho estimem que a taxa de desemprego só comece a recuar a partir do segundo semestre do próximo ano e volte ao nível anterior à crise somente após 2018, há otimismo em relação à retomada do crescimento econômico. Com a recuperação da confiança empresarial local e dos investidores externos, os investimentos poderão ser os protagonistas da evolução do PIB, já que o consumo das famílias deverá </w:t>
      </w:r>
      <w:r w:rsidR="00A52149" w:rsidRPr="00DA46DB">
        <w:rPr>
          <w:bCs/>
          <w:color w:val="7F7F7F" w:themeColor="text1" w:themeTint="80"/>
          <w:sz w:val="20"/>
          <w:szCs w:val="20"/>
        </w:rPr>
        <w:t>ter uma recuperação mais lenta.</w:t>
      </w:r>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Instituições financeiras internacionais de renome acreditam que com a superação da crise política, com o ajuste fiscal e com a queda da inflação e dos juros, o Brasil poderá</w:t>
      </w:r>
      <w:r w:rsidR="00A52149" w:rsidRPr="00DA46DB">
        <w:rPr>
          <w:bCs/>
          <w:color w:val="7F7F7F" w:themeColor="text1" w:themeTint="80"/>
          <w:sz w:val="20"/>
          <w:szCs w:val="20"/>
        </w:rPr>
        <w:t xml:space="preserve"> entrar em novo ciclo virtuoso.</w:t>
      </w:r>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 xml:space="preserve">Para o FMI, com o crescimento previsto para 2017 e com a freada da alta do dólar, o Brasil poderá voltar a ser a oitava maior economia do mundo já no próximo </w:t>
      </w:r>
      <w:r w:rsidR="00A52149" w:rsidRPr="00DA46DB">
        <w:rPr>
          <w:bCs/>
          <w:color w:val="7F7F7F" w:themeColor="text1" w:themeTint="80"/>
          <w:sz w:val="20"/>
          <w:szCs w:val="20"/>
        </w:rPr>
        <w:t>ano.</w:t>
      </w:r>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Segundo o ministro Henrique Meirelles, com os sinais de reação já esboçados pela economia, com a melhora dos índices de confiança e com o avanço do ajuste fiscal, a retomada de um bom ritmo de crescimento pode ser mais rápida, mesmo com a possibilidade do aumento dos juros nos EUA.</w:t>
      </w:r>
      <w:r w:rsidR="00A52149" w:rsidRPr="00DA46DB">
        <w:rPr>
          <w:bCs/>
          <w:color w:val="7F7F7F" w:themeColor="text1" w:themeTint="80"/>
          <w:sz w:val="20"/>
          <w:szCs w:val="20"/>
        </w:rPr>
        <w:t xml:space="preserve"> Há também </w:t>
      </w:r>
      <w:r w:rsidRPr="00DA46DB">
        <w:rPr>
          <w:bCs/>
          <w:color w:val="7F7F7F" w:themeColor="text1" w:themeTint="80"/>
          <w:sz w:val="20"/>
          <w:szCs w:val="20"/>
        </w:rPr>
        <w:t>que se levar em consideração, o fato de que a queda acumulada do PIB nos últimos anos foi tão intensa que a base baixa para a recuperação do crescimento econômico é um fator favorável adicional.</w:t>
      </w:r>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lastRenderedPageBreak/>
        <w:t>Analistas de mercado especializados em contas públicas estimam que o déficit público primário em 2016 será da ordem de R$ 159 bilhões, portanto abaixo da meta de R$ 170,5 bilhões aprovada pelo Congresso Nacional. Já para 2017, a expectativa é de um déficit de R$ 145,3 bilhões, portanto acima da meta de R$ 139 bilhões, fixada pelo governo. Já a dívida bruta deverá equivaler a 78,2% do PIB, sendo que hoje é cerca de 70%.</w:t>
      </w:r>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Em recente visita à agência Bloomberg, em Nova Iorque, o presidente Temer declarou que o déficit fiscal demorará ainda mais dois ou três anos para ser eliminado, mesmo com a aprovação do teto para o crescimento dos gastos públicos, durante os próximos 20 anos. O texto-base já foi aprovado pela Câmara em primeiro turno, restando ser aprovado em segundo turno para depois ser enviado ao Senado, onde também terá q</w:t>
      </w:r>
      <w:r w:rsidR="00A52149" w:rsidRPr="00DA46DB">
        <w:rPr>
          <w:bCs/>
          <w:color w:val="7F7F7F" w:themeColor="text1" w:themeTint="80"/>
          <w:sz w:val="20"/>
          <w:szCs w:val="20"/>
        </w:rPr>
        <w:t>ue ser aprovado em dois turnos.</w:t>
      </w:r>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Segundo Mansueto de Almeida, secretário de Acompanhamento Econômico do Ministério da Fazenda, a PEC 241, que estabelece o teto é a melhor forma de ajuste fiscal porque é gradual. Não leva a grandes cortes de despesas necessárias e nem ao corte de aposentadorias, como foi fe</w:t>
      </w:r>
      <w:r w:rsidR="00A52149" w:rsidRPr="00DA46DB">
        <w:rPr>
          <w:bCs/>
          <w:color w:val="7F7F7F" w:themeColor="text1" w:themeTint="80"/>
          <w:sz w:val="20"/>
          <w:szCs w:val="20"/>
        </w:rPr>
        <w:t>ito em vários países da Europa.</w:t>
      </w:r>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 xml:space="preserve">Em relação ao crescente déficit da Previdência Social, as reformas </w:t>
      </w:r>
      <w:r w:rsidR="00A52149" w:rsidRPr="00DA46DB">
        <w:rPr>
          <w:bCs/>
          <w:color w:val="7F7F7F" w:themeColor="text1" w:themeTint="80"/>
          <w:sz w:val="20"/>
          <w:szCs w:val="20"/>
        </w:rPr>
        <w:t xml:space="preserve">propostas pelo governo só serão </w:t>
      </w:r>
      <w:r w:rsidRPr="00DA46DB">
        <w:rPr>
          <w:bCs/>
          <w:color w:val="7F7F7F" w:themeColor="text1" w:themeTint="80"/>
          <w:sz w:val="20"/>
          <w:szCs w:val="20"/>
        </w:rPr>
        <w:t>encaminhadas ao Legislativo em 2017. A princípio, uma das ideias é unificar a</w:t>
      </w:r>
      <w:r w:rsidR="00A52149" w:rsidRPr="00DA46DB">
        <w:rPr>
          <w:bCs/>
          <w:color w:val="7F7F7F" w:themeColor="text1" w:themeTint="80"/>
          <w:sz w:val="20"/>
          <w:szCs w:val="20"/>
        </w:rPr>
        <w:t xml:space="preserve"> Previdência pública e privada.</w:t>
      </w:r>
    </w:p>
    <w:p w:rsidR="009F5533"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Dentro das possibilidades de aumento de arrecadação ventiladas pelo governo, está um programa de privatizações, que tem a vantagem de não passar pelo Congresso e nem pelo sistema político e que não precisa de aprovação popular. O governo tem autonomia para efetivá-lo. Também as concessões de serviços públicos integram o rol de possibilidades.</w:t>
      </w:r>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O fato é que, como está esgotada a capacidade de endividamento do Tesouro Nacional, o chamado ajuste fiscal é indispensável para que o país retome o ciclo virtuoso que propicia o crescimento econômico, com uma política de jur</w:t>
      </w:r>
      <w:r w:rsidR="00A52149" w:rsidRPr="00DA46DB">
        <w:rPr>
          <w:bCs/>
          <w:color w:val="7F7F7F" w:themeColor="text1" w:themeTint="80"/>
          <w:sz w:val="20"/>
          <w:szCs w:val="20"/>
        </w:rPr>
        <w:t>os baixos e inflação controlada.</w:t>
      </w:r>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Conforme o último Relatório Focus, o mercado financeiro estima que a inflação de 2016, medida através do IPCA, será de 7,04% e cairá para 5,06% em 2017. Para o Banco Central, através do último Relatório Trimestral de Inflação, ela será de 4,4% em 2017, portanto abaixo do centro da meta de 4,5% e caí</w:t>
      </w:r>
      <w:r w:rsidR="00A52149" w:rsidRPr="00DA46DB">
        <w:rPr>
          <w:bCs/>
          <w:color w:val="7F7F7F" w:themeColor="text1" w:themeTint="80"/>
          <w:sz w:val="20"/>
          <w:szCs w:val="20"/>
        </w:rPr>
        <w:t>ra para 3,8% em 2018.</w:t>
      </w:r>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Embora a indexação de preços ainda esteja viva na economia brasileira e possa tornar a queda da inflação mais lenta, uma série de reajustes salariais foi feita sem a plena reposição da inflação passada e os preços administrados, por seu turno, devem exercer pressões bem menores sobr</w:t>
      </w:r>
      <w:r w:rsidR="00A52149" w:rsidRPr="00DA46DB">
        <w:rPr>
          <w:bCs/>
          <w:color w:val="7F7F7F" w:themeColor="text1" w:themeTint="80"/>
          <w:sz w:val="20"/>
          <w:szCs w:val="20"/>
        </w:rPr>
        <w:t>e os demais preços da economia.</w:t>
      </w:r>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Depois do IPCA de setembro ter registrado uma alta de apenas 0,08%, o presidente do BC, Ilan Goldfajn alertou que é preciso serenidade, na medida em que a desinflação não pode se restringir a apenas um mês, mas tem que se firmar ao longo do tempo.</w:t>
      </w:r>
    </w:p>
    <w:p w:rsidR="009F5533"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Embora as pressões dos preços dos alimentos possam prosseguir, até por conta de uma menor safra de grãos neste ano, com a confiança em alta é benigno o cenário para a inflação.</w:t>
      </w:r>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Para o mercado financeiro, este ano irá terminar com a taxa Selic em 13,75% a.a. e cairá para 11% a.a. no final de 2017.</w:t>
      </w:r>
      <w:r w:rsidR="00A52149" w:rsidRPr="00DA46DB">
        <w:rPr>
          <w:bCs/>
          <w:color w:val="7F7F7F" w:themeColor="text1" w:themeTint="80"/>
          <w:sz w:val="20"/>
          <w:szCs w:val="20"/>
        </w:rPr>
        <w:t xml:space="preserve"> </w:t>
      </w:r>
      <w:r w:rsidRPr="00DA46DB">
        <w:rPr>
          <w:bCs/>
          <w:color w:val="7F7F7F" w:themeColor="text1" w:themeTint="80"/>
          <w:sz w:val="20"/>
          <w:szCs w:val="20"/>
        </w:rPr>
        <w:t>Sob a chefia de Ilan Goldfajn, o Banco Central vem conduzindo a política monetária com extrema prudência. Em sua avaliação a queda dos juros depende basicamente do ajuste fiscal e da inflação dos alimentos. Mas o seu objetivo é de que a inflação atinja o centro da meta, o que permitiria, com a disciplina fiscal, uma queda duradoura das taxas de juros, que propicie a redução dos custos financeiros para as famílias e empresas, além da valorização dos ativos em geral.</w:t>
      </w:r>
      <w:r w:rsidR="00A52149" w:rsidRPr="00DA46DB">
        <w:rPr>
          <w:bCs/>
          <w:color w:val="7F7F7F" w:themeColor="text1" w:themeTint="80"/>
          <w:sz w:val="20"/>
          <w:szCs w:val="20"/>
        </w:rPr>
        <w:t xml:space="preserve"> </w:t>
      </w:r>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Para o mercado financeiro, está próximo o momento d</w:t>
      </w:r>
      <w:r w:rsidR="00A52149" w:rsidRPr="00DA46DB">
        <w:rPr>
          <w:bCs/>
          <w:color w:val="7F7F7F" w:themeColor="text1" w:themeTint="80"/>
          <w:sz w:val="20"/>
          <w:szCs w:val="20"/>
        </w:rPr>
        <w:t>o início da queda da taxa Selic.</w:t>
      </w:r>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O último Relatório Focus revelou que o mercado financeiro espera que o dólar esteja cotado a R$ 3,25 no final de 2016 e a R$ 3,40 no final de 2017.</w:t>
      </w:r>
      <w:r w:rsidR="00A52149" w:rsidRPr="00DA46DB">
        <w:rPr>
          <w:bCs/>
          <w:color w:val="7F7F7F" w:themeColor="text1" w:themeTint="80"/>
          <w:sz w:val="20"/>
          <w:szCs w:val="20"/>
        </w:rPr>
        <w:t xml:space="preserve"> </w:t>
      </w:r>
      <w:r w:rsidRPr="00DA46DB">
        <w:rPr>
          <w:bCs/>
          <w:color w:val="7F7F7F" w:themeColor="text1" w:themeTint="80"/>
          <w:sz w:val="20"/>
          <w:szCs w:val="20"/>
        </w:rPr>
        <w:t xml:space="preserve">Neste ano, o real foi uma das moedas que mais se </w:t>
      </w:r>
      <w:r w:rsidRPr="00DA46DB">
        <w:rPr>
          <w:bCs/>
          <w:color w:val="7F7F7F" w:themeColor="text1" w:themeTint="80"/>
          <w:sz w:val="20"/>
          <w:szCs w:val="20"/>
        </w:rPr>
        <w:lastRenderedPageBreak/>
        <w:t>valorizou no mundo. Se por um lado o dólar mais desvalorizado colabora com a inflação, ao baratear os produtos importados, por outro pode também representar uma ameaça para as contas externas, foco das poucas boas notícias econômicas, neste ano.</w:t>
      </w:r>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Com a economia brasileira voltando a andar nos trilhos, é grande a possibilidade de fortes ingressos de capital estrangeiro no próximo ano, já que diversos analistas internacionais expressaram otimismo com o país. Esses ingressos podem ainda ser intensificados, com a melhoria dos ratings do país, a p</w:t>
      </w:r>
      <w:r w:rsidR="00A52149" w:rsidRPr="00DA46DB">
        <w:rPr>
          <w:bCs/>
          <w:color w:val="7F7F7F" w:themeColor="text1" w:themeTint="80"/>
          <w:sz w:val="20"/>
          <w:szCs w:val="20"/>
        </w:rPr>
        <w:t>artir do ajuste fiscal.</w:t>
      </w:r>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Para conter a excessiva queda do dólar e evitar os erros cometidos no passado recente, que tanto prejudicaram nossas exportações e o setor industrial, o Banco Central conta com ferramentas como o corte dos juros, a compra de dólares no mercado à vista e</w:t>
      </w:r>
      <w:r w:rsidR="00A52149" w:rsidRPr="00DA46DB">
        <w:rPr>
          <w:bCs/>
          <w:color w:val="7F7F7F" w:themeColor="text1" w:themeTint="80"/>
          <w:sz w:val="20"/>
          <w:szCs w:val="20"/>
        </w:rPr>
        <w:t xml:space="preserve"> novos leilões de swap reverso.</w:t>
      </w:r>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Para a Balança Comercial, o Relatório Focus estima um superávit de US$ 49,1 bilhões em 2016 e de US$ 45 bilhões para 2017.  Para o déficit em transações correntes, o mercado o estima em US$ 17,1 bilhões em 2016 e US$ 25 bilhões em 2017. E finalmente para o Investimento Estrangeiro Direto – IED, a estimativa é de um ingresso de US$ 6</w:t>
      </w:r>
      <w:r w:rsidR="00A52149" w:rsidRPr="00DA46DB">
        <w:rPr>
          <w:bCs/>
          <w:color w:val="7F7F7F" w:themeColor="text1" w:themeTint="80"/>
          <w:sz w:val="20"/>
          <w:szCs w:val="20"/>
        </w:rPr>
        <w:t>5 bilhões em 2016 e 2017.</w:t>
      </w:r>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Para a maior gestora de recursos do mundo, a BalckRock, os juros pagos pelos papéis brasileiros, emitidos aqui e no exterior estão entre os mais atraentes do mundo. De fato, a diferença entre as taxas de juros praticadas no Brasil e a média praticada nos países desenvolvidos é a maior em dez anos. Esse é um dos fatores que estimulam a atração de capita</w:t>
      </w:r>
      <w:r w:rsidR="00A52149" w:rsidRPr="00DA46DB">
        <w:rPr>
          <w:bCs/>
          <w:color w:val="7F7F7F" w:themeColor="text1" w:themeTint="80"/>
          <w:sz w:val="20"/>
          <w:szCs w:val="20"/>
        </w:rPr>
        <w:t>l internacional no curto prazo.</w:t>
      </w:r>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Como dissemos anteriormente, com a aprovação do ajuste fiscal, com a queda da inflação e com a retomada da arrecadação do setor público a partir de um maior crescimento econômico, podemos estar diante de uma queda continuada da taxa Selic e dos juros de mercado, que p</w:t>
      </w:r>
      <w:r w:rsidR="00A52149" w:rsidRPr="00DA46DB">
        <w:rPr>
          <w:bCs/>
          <w:color w:val="7F7F7F" w:themeColor="text1" w:themeTint="80"/>
          <w:sz w:val="20"/>
          <w:szCs w:val="20"/>
        </w:rPr>
        <w:t xml:space="preserve">ossibilitarão altos rendimentos </w:t>
      </w:r>
      <w:r w:rsidRPr="00DA46DB">
        <w:rPr>
          <w:bCs/>
          <w:color w:val="7F7F7F" w:themeColor="text1" w:themeTint="80"/>
          <w:sz w:val="20"/>
          <w:szCs w:val="20"/>
        </w:rPr>
        <w:t>nas aplicações pré-fixadas, inclusive naquelas em que os IMA’s servem de referência. Também os títulos privados devem aumentar o seu espaço no mercado em 2017.</w:t>
      </w:r>
      <w:r w:rsidR="00A52149" w:rsidRPr="00DA46DB">
        <w:rPr>
          <w:bCs/>
          <w:color w:val="7F7F7F" w:themeColor="text1" w:themeTint="80"/>
          <w:sz w:val="20"/>
          <w:szCs w:val="20"/>
        </w:rPr>
        <w:t xml:space="preserve"> </w:t>
      </w:r>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Assim, a alocação sugerida para as aplicações financeiras dos RPPS, se encontra na tabela abaixo.</w:t>
      </w:r>
    </w:p>
    <w:p w:rsidR="00A52149"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A análise feita para a renda fixa também procede para a renda variável. Cabe acrescentar que o fluxo de recursos de investidores estrangeiros</w:t>
      </w:r>
      <w:r w:rsidR="00A52149" w:rsidRPr="00DA46DB">
        <w:rPr>
          <w:bCs/>
          <w:color w:val="7F7F7F" w:themeColor="text1" w:themeTint="80"/>
          <w:sz w:val="20"/>
          <w:szCs w:val="20"/>
        </w:rPr>
        <w:t xml:space="preserve">, que hoje representa quase a </w:t>
      </w:r>
      <w:r w:rsidRPr="00DA46DB">
        <w:rPr>
          <w:bCs/>
          <w:color w:val="7F7F7F" w:themeColor="text1" w:themeTint="80"/>
          <w:sz w:val="20"/>
          <w:szCs w:val="20"/>
        </w:rPr>
        <w:t>metade do volume transacionado na Bovespa, pode se intensificar ainda mais com o novo quadro político e econômico.</w:t>
      </w:r>
    </w:p>
    <w:p w:rsidR="009F5533" w:rsidRPr="00DA46DB" w:rsidRDefault="009F5533" w:rsidP="00DA46DB">
      <w:pPr>
        <w:spacing w:before="120" w:after="0" w:line="240" w:lineRule="auto"/>
        <w:jc w:val="both"/>
        <w:rPr>
          <w:bCs/>
          <w:color w:val="7F7F7F" w:themeColor="text1" w:themeTint="80"/>
          <w:sz w:val="20"/>
          <w:szCs w:val="20"/>
        </w:rPr>
      </w:pPr>
      <w:r w:rsidRPr="00DA46DB">
        <w:rPr>
          <w:bCs/>
          <w:color w:val="7F7F7F" w:themeColor="text1" w:themeTint="80"/>
          <w:sz w:val="20"/>
          <w:szCs w:val="20"/>
        </w:rPr>
        <w:t>Depois de dois anos o Índice Bovespa voltou a superar o patamar de 60 mil pontos e também com a perspectiva de alta para as commodities no próximo ano, pode evoluir ainda mais, não só por conta do ingresso de recursos, mas principalmente pelo crescimento do lucro das empresas.</w:t>
      </w:r>
    </w:p>
    <w:p w:rsidR="009F5533" w:rsidRPr="009F5533" w:rsidRDefault="009F5533" w:rsidP="009F5533">
      <w:pPr>
        <w:spacing w:before="120" w:after="0" w:line="240" w:lineRule="auto"/>
        <w:jc w:val="both"/>
        <w:rPr>
          <w:rFonts w:asciiTheme="majorHAnsi" w:hAnsiTheme="majorHAnsi"/>
          <w:bCs/>
          <w:color w:val="7F7F7F" w:themeColor="text1" w:themeTint="80"/>
          <w:sz w:val="20"/>
          <w:szCs w:val="20"/>
        </w:rPr>
      </w:pPr>
    </w:p>
    <w:p w:rsidR="009F5533" w:rsidRPr="001A464C" w:rsidRDefault="009F5533" w:rsidP="009F5533">
      <w:pPr>
        <w:spacing w:after="0" w:line="240" w:lineRule="auto"/>
        <w:jc w:val="both"/>
        <w:rPr>
          <w:rFonts w:asciiTheme="majorHAnsi" w:hAnsiTheme="majorHAnsi"/>
          <w:bCs/>
          <w:color w:val="7F7F7F" w:themeColor="text1" w:themeTint="80"/>
          <w:sz w:val="20"/>
          <w:szCs w:val="20"/>
        </w:rPr>
      </w:pPr>
    </w:p>
    <w:p w:rsidR="00687BFD" w:rsidRPr="00C7281C" w:rsidRDefault="00687BFD" w:rsidP="009F5533">
      <w:pPr>
        <w:pStyle w:val="Ttulo2"/>
        <w:numPr>
          <w:ilvl w:val="1"/>
          <w:numId w:val="6"/>
        </w:numPr>
        <w:spacing w:before="0" w:line="240" w:lineRule="auto"/>
        <w:ind w:left="0" w:firstLine="0"/>
        <w:jc w:val="both"/>
        <w:rPr>
          <w:color w:val="ED7D31"/>
          <w:sz w:val="20"/>
          <w:szCs w:val="20"/>
        </w:rPr>
      </w:pPr>
      <w:bookmarkStart w:id="10" w:name="_Toc467598721"/>
      <w:r w:rsidRPr="00C7281C">
        <w:rPr>
          <w:color w:val="ED7D31"/>
          <w:sz w:val="20"/>
          <w:szCs w:val="20"/>
        </w:rPr>
        <w:t>EXPECTATIVAS DE MERCADO</w:t>
      </w:r>
      <w:bookmarkEnd w:id="10"/>
    </w:p>
    <w:p w:rsidR="005953A0" w:rsidRPr="003B7580" w:rsidRDefault="00B82665" w:rsidP="00B82665">
      <w:pPr>
        <w:rPr>
          <w:sz w:val="16"/>
          <w:szCs w:val="16"/>
        </w:rPr>
      </w:pPr>
      <w:r>
        <w:rPr>
          <w:noProof/>
          <w:lang w:eastAsia="pt-BR"/>
        </w:rPr>
        <w:drawing>
          <wp:inline distT="0" distB="0" distL="0" distR="0" wp14:anchorId="63B0FC0E" wp14:editId="17C289F1">
            <wp:extent cx="5398770" cy="12217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770" cy="1221740"/>
                    </a:xfrm>
                    <a:prstGeom prst="rect">
                      <a:avLst/>
                    </a:prstGeom>
                    <a:noFill/>
                    <a:ln>
                      <a:noFill/>
                    </a:ln>
                  </pic:spPr>
                </pic:pic>
              </a:graphicData>
            </a:graphic>
          </wp:inline>
        </w:drawing>
      </w:r>
      <w:bookmarkStart w:id="11" w:name="_Toc435202741"/>
      <w:r w:rsidR="005953A0" w:rsidRPr="003B7580">
        <w:rPr>
          <w:rFonts w:asciiTheme="majorHAnsi" w:hAnsiTheme="majorHAnsi"/>
          <w:sz w:val="16"/>
          <w:szCs w:val="16"/>
        </w:rPr>
        <w:t>Fonte: Bacen: Sistema de Expectativas de Mercado</w:t>
      </w:r>
    </w:p>
    <w:p w:rsidR="005953A0" w:rsidRPr="001A464C" w:rsidRDefault="005953A0" w:rsidP="001A464C">
      <w:pPr>
        <w:spacing w:beforeLines="120" w:before="288" w:after="0" w:line="240" w:lineRule="auto"/>
        <w:jc w:val="both"/>
        <w:rPr>
          <w:rFonts w:asciiTheme="majorHAnsi" w:hAnsiTheme="majorHAnsi"/>
          <w:sz w:val="20"/>
          <w:szCs w:val="20"/>
        </w:rPr>
      </w:pPr>
    </w:p>
    <w:p w:rsidR="00CB1E8E" w:rsidRPr="00C7281C" w:rsidRDefault="00CB1E8E" w:rsidP="001A464C">
      <w:pPr>
        <w:pStyle w:val="Ttulo1"/>
        <w:numPr>
          <w:ilvl w:val="0"/>
          <w:numId w:val="6"/>
        </w:numPr>
        <w:spacing w:beforeLines="120" w:before="288" w:line="240" w:lineRule="auto"/>
        <w:ind w:left="0" w:firstLine="0"/>
        <w:jc w:val="both"/>
        <w:rPr>
          <w:rFonts w:asciiTheme="majorHAnsi" w:hAnsiTheme="majorHAnsi"/>
          <w:color w:val="ED7D31"/>
          <w:sz w:val="20"/>
          <w:szCs w:val="20"/>
        </w:rPr>
      </w:pPr>
      <w:bookmarkStart w:id="12" w:name="_Toc467598722"/>
      <w:r w:rsidRPr="00C7281C">
        <w:rPr>
          <w:rFonts w:asciiTheme="majorHAnsi" w:hAnsiTheme="majorHAnsi"/>
          <w:color w:val="ED7D31"/>
          <w:sz w:val="20"/>
          <w:szCs w:val="20"/>
        </w:rPr>
        <w:lastRenderedPageBreak/>
        <w:t>ALOCAÇÃO ESTRATÉGICA DOS RECURSOS</w:t>
      </w:r>
      <w:bookmarkEnd w:id="11"/>
      <w:bookmarkEnd w:id="12"/>
    </w:p>
    <w:p w:rsidR="004D13AD" w:rsidRDefault="00CB1E8E" w:rsidP="004D13AD">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 xml:space="preserve">Na aplicação dos recursos, os responsáveis pela gestão </w:t>
      </w:r>
      <w:r w:rsidR="00D567EB" w:rsidRPr="001A464C">
        <w:rPr>
          <w:rFonts w:asciiTheme="majorHAnsi" w:hAnsiTheme="majorHAnsi"/>
          <w:bCs/>
          <w:color w:val="7F7F7F" w:themeColor="text1" w:themeTint="80"/>
          <w:sz w:val="20"/>
          <w:szCs w:val="20"/>
        </w:rPr>
        <w:t xml:space="preserve">do </w:t>
      </w:r>
      <w:r w:rsidRPr="001A464C">
        <w:rPr>
          <w:rFonts w:asciiTheme="majorHAnsi" w:hAnsiTheme="majorHAnsi"/>
          <w:bCs/>
          <w:color w:val="7F7F7F" w:themeColor="text1" w:themeTint="80"/>
          <w:sz w:val="20"/>
          <w:szCs w:val="20"/>
        </w:rPr>
        <w:t xml:space="preserve">RPPS </w:t>
      </w:r>
      <w:r w:rsidR="00244E1F" w:rsidRPr="001A464C">
        <w:rPr>
          <w:rFonts w:asciiTheme="majorHAnsi" w:hAnsiTheme="majorHAnsi"/>
          <w:bCs/>
          <w:color w:val="7F7F7F" w:themeColor="text1" w:themeTint="80"/>
          <w:sz w:val="20"/>
          <w:szCs w:val="20"/>
        </w:rPr>
        <w:t>devem observar</w:t>
      </w:r>
      <w:r w:rsidRPr="001A464C">
        <w:rPr>
          <w:rFonts w:asciiTheme="majorHAnsi" w:hAnsiTheme="majorHAnsi"/>
          <w:bCs/>
          <w:color w:val="7F7F7F" w:themeColor="text1" w:themeTint="80"/>
          <w:sz w:val="20"/>
          <w:szCs w:val="20"/>
        </w:rPr>
        <w:t xml:space="preserve"> os </w:t>
      </w:r>
      <w:r w:rsidR="005953A0" w:rsidRPr="001A464C">
        <w:rPr>
          <w:rFonts w:asciiTheme="majorHAnsi" w:hAnsiTheme="majorHAnsi"/>
          <w:bCs/>
          <w:color w:val="7F7F7F" w:themeColor="text1" w:themeTint="80"/>
          <w:sz w:val="20"/>
          <w:szCs w:val="20"/>
        </w:rPr>
        <w:t>limites estabelecidos por esta Política de I</w:t>
      </w:r>
      <w:r w:rsidRPr="001A464C">
        <w:rPr>
          <w:rFonts w:asciiTheme="majorHAnsi" w:hAnsiTheme="majorHAnsi"/>
          <w:bCs/>
          <w:color w:val="7F7F7F" w:themeColor="text1" w:themeTint="80"/>
          <w:sz w:val="20"/>
          <w:szCs w:val="20"/>
        </w:rPr>
        <w:t>nvestimentos e p</w:t>
      </w:r>
      <w:r w:rsidR="00FE784F" w:rsidRPr="001A464C">
        <w:rPr>
          <w:rFonts w:asciiTheme="majorHAnsi" w:hAnsiTheme="majorHAnsi"/>
          <w:bCs/>
          <w:color w:val="7F7F7F" w:themeColor="text1" w:themeTint="80"/>
          <w:sz w:val="20"/>
          <w:szCs w:val="20"/>
        </w:rPr>
        <w:t xml:space="preserve">ela Resolução CMN nº 3.922/2010. </w:t>
      </w:r>
      <w:r w:rsidR="00D567EB" w:rsidRPr="001A464C">
        <w:rPr>
          <w:rFonts w:asciiTheme="majorHAnsi" w:hAnsiTheme="majorHAnsi"/>
          <w:bCs/>
          <w:color w:val="7F7F7F" w:themeColor="text1" w:themeTint="80"/>
          <w:sz w:val="20"/>
          <w:szCs w:val="20"/>
        </w:rPr>
        <w:t xml:space="preserve">Limites estabelecidos </w:t>
      </w:r>
      <w:r w:rsidR="00FE784F" w:rsidRPr="001A464C">
        <w:rPr>
          <w:rFonts w:asciiTheme="majorHAnsi" w:hAnsiTheme="majorHAnsi"/>
          <w:bCs/>
          <w:color w:val="7F7F7F" w:themeColor="text1" w:themeTint="80"/>
          <w:sz w:val="20"/>
          <w:szCs w:val="20"/>
        </w:rPr>
        <w:t xml:space="preserve">mediante estudo do </w:t>
      </w:r>
      <w:r w:rsidR="00244E1F" w:rsidRPr="001A464C">
        <w:rPr>
          <w:rFonts w:asciiTheme="majorHAnsi" w:hAnsiTheme="majorHAnsi"/>
          <w:bCs/>
          <w:color w:val="7F7F7F" w:themeColor="text1" w:themeTint="80"/>
          <w:sz w:val="20"/>
          <w:szCs w:val="20"/>
        </w:rPr>
        <w:t xml:space="preserve">cenário </w:t>
      </w:r>
      <w:r w:rsidR="00FE784F" w:rsidRPr="001A464C">
        <w:rPr>
          <w:rFonts w:asciiTheme="majorHAnsi" w:hAnsiTheme="majorHAnsi"/>
          <w:bCs/>
          <w:color w:val="7F7F7F" w:themeColor="text1" w:themeTint="80"/>
          <w:sz w:val="20"/>
          <w:szCs w:val="20"/>
        </w:rPr>
        <w:t>macro</w:t>
      </w:r>
      <w:r w:rsidR="00244E1F" w:rsidRPr="001A464C">
        <w:rPr>
          <w:rFonts w:asciiTheme="majorHAnsi" w:hAnsiTheme="majorHAnsi"/>
          <w:bCs/>
          <w:color w:val="7F7F7F" w:themeColor="text1" w:themeTint="80"/>
          <w:sz w:val="20"/>
          <w:szCs w:val="20"/>
        </w:rPr>
        <w:t>econômico</w:t>
      </w:r>
      <w:r w:rsidR="00FE784F" w:rsidRPr="001A464C">
        <w:rPr>
          <w:rFonts w:asciiTheme="majorHAnsi" w:hAnsiTheme="majorHAnsi"/>
          <w:bCs/>
          <w:color w:val="7F7F7F" w:themeColor="text1" w:themeTint="80"/>
          <w:sz w:val="20"/>
          <w:szCs w:val="20"/>
        </w:rPr>
        <w:t xml:space="preserve"> atual e de perspectivas futuras</w:t>
      </w:r>
      <w:r w:rsidR="00244E1F" w:rsidRPr="001A464C">
        <w:rPr>
          <w:rFonts w:asciiTheme="majorHAnsi" w:hAnsiTheme="majorHAnsi"/>
          <w:bCs/>
          <w:color w:val="7F7F7F" w:themeColor="text1" w:themeTint="80"/>
          <w:sz w:val="20"/>
          <w:szCs w:val="20"/>
        </w:rPr>
        <w:t xml:space="preserve">, com as hipóteses </w:t>
      </w:r>
      <w:r w:rsidR="00FE784F" w:rsidRPr="001A464C">
        <w:rPr>
          <w:rFonts w:asciiTheme="majorHAnsi" w:hAnsiTheme="majorHAnsi"/>
          <w:bCs/>
          <w:color w:val="7F7F7F" w:themeColor="text1" w:themeTint="80"/>
          <w:sz w:val="20"/>
          <w:szCs w:val="20"/>
        </w:rPr>
        <w:t xml:space="preserve">razoáveis de realização no curto e médio prazo, </w:t>
      </w:r>
      <w:r w:rsidRPr="001A464C">
        <w:rPr>
          <w:rFonts w:asciiTheme="majorHAnsi" w:hAnsiTheme="majorHAnsi"/>
          <w:bCs/>
          <w:color w:val="7F7F7F" w:themeColor="text1" w:themeTint="80"/>
          <w:sz w:val="20"/>
          <w:szCs w:val="20"/>
        </w:rPr>
        <w:t>conforme descrito abaixo:</w:t>
      </w:r>
    </w:p>
    <w:p w:rsidR="00D567EB" w:rsidRDefault="00D567EB" w:rsidP="004D13AD">
      <w:pPr>
        <w:spacing w:beforeLines="120" w:before="288" w:after="0" w:line="240" w:lineRule="auto"/>
        <w:jc w:val="center"/>
        <w:rPr>
          <w:rFonts w:asciiTheme="majorHAnsi" w:eastAsiaTheme="majorEastAsia" w:hAnsiTheme="majorHAnsi" w:cstheme="majorBidi"/>
          <w:b/>
          <w:sz w:val="20"/>
          <w:szCs w:val="20"/>
        </w:rPr>
      </w:pPr>
      <w:r w:rsidRPr="001A464C">
        <w:rPr>
          <w:rFonts w:asciiTheme="majorHAnsi" w:eastAsiaTheme="majorEastAsia" w:hAnsiTheme="majorHAnsi" w:cstheme="majorBidi"/>
          <w:b/>
          <w:sz w:val="20"/>
          <w:szCs w:val="20"/>
        </w:rPr>
        <w:t>Alocação Estratégica para o exercício de 2017</w:t>
      </w:r>
    </w:p>
    <w:p w:rsidR="002B719F" w:rsidRPr="004D13AD" w:rsidRDefault="002B719F" w:rsidP="004D13AD">
      <w:pPr>
        <w:spacing w:beforeLines="120" w:before="288" w:after="0" w:line="240" w:lineRule="auto"/>
        <w:jc w:val="center"/>
        <w:rPr>
          <w:rFonts w:asciiTheme="majorHAnsi" w:hAnsiTheme="majorHAnsi"/>
          <w:bCs/>
          <w:color w:val="7F7F7F" w:themeColor="text1" w:themeTint="80"/>
          <w:sz w:val="20"/>
          <w:szCs w:val="20"/>
        </w:rPr>
      </w:pPr>
    </w:p>
    <w:tbl>
      <w:tblPr>
        <w:tblW w:w="5000" w:type="pct"/>
        <w:tblCellMar>
          <w:left w:w="70" w:type="dxa"/>
          <w:right w:w="70" w:type="dxa"/>
        </w:tblCellMar>
        <w:tblLook w:val="04A0" w:firstRow="1" w:lastRow="0" w:firstColumn="1" w:lastColumn="0" w:noHBand="0" w:noVBand="1"/>
      </w:tblPr>
      <w:tblGrid>
        <w:gridCol w:w="727"/>
        <w:gridCol w:w="3841"/>
        <w:gridCol w:w="980"/>
        <w:gridCol w:w="980"/>
        <w:gridCol w:w="705"/>
        <w:gridCol w:w="721"/>
        <w:gridCol w:w="690"/>
      </w:tblGrid>
      <w:tr w:rsidR="002B719F" w:rsidRPr="00815C55" w:rsidTr="002B719F">
        <w:trPr>
          <w:trHeight w:val="555"/>
        </w:trPr>
        <w:tc>
          <w:tcPr>
            <w:tcW w:w="345" w:type="pct"/>
            <w:tcBorders>
              <w:top w:val="nil"/>
              <w:left w:val="nil"/>
              <w:bottom w:val="nil"/>
              <w:right w:val="nil"/>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p>
        </w:tc>
        <w:tc>
          <w:tcPr>
            <w:tcW w:w="1983" w:type="pct"/>
            <w:tcBorders>
              <w:top w:val="nil"/>
              <w:left w:val="nil"/>
              <w:bottom w:val="nil"/>
              <w:right w:val="nil"/>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p>
        </w:tc>
        <w:tc>
          <w:tcPr>
            <w:tcW w:w="630" w:type="pct"/>
            <w:tcBorders>
              <w:top w:val="nil"/>
              <w:left w:val="nil"/>
              <w:bottom w:val="nil"/>
              <w:right w:val="nil"/>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p>
        </w:tc>
        <w:tc>
          <w:tcPr>
            <w:tcW w:w="630" w:type="pct"/>
            <w:tcBorders>
              <w:top w:val="nil"/>
              <w:left w:val="nil"/>
              <w:bottom w:val="nil"/>
              <w:right w:val="nil"/>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p>
        </w:tc>
        <w:tc>
          <w:tcPr>
            <w:tcW w:w="1412"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Estratégia de Alocação - Política de Investimento de 2017</w:t>
            </w:r>
          </w:p>
        </w:tc>
      </w:tr>
      <w:tr w:rsidR="002B719F" w:rsidRPr="00815C55" w:rsidTr="002B719F">
        <w:trPr>
          <w:trHeight w:val="465"/>
        </w:trPr>
        <w:tc>
          <w:tcPr>
            <w:tcW w:w="345"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Segmento</w:t>
            </w:r>
          </w:p>
        </w:tc>
        <w:tc>
          <w:tcPr>
            <w:tcW w:w="1983" w:type="pct"/>
            <w:tcBorders>
              <w:top w:val="single" w:sz="8" w:space="0" w:color="auto"/>
              <w:left w:val="nil"/>
              <w:bottom w:val="single" w:sz="8" w:space="0" w:color="auto"/>
              <w:right w:val="single" w:sz="4" w:space="0" w:color="auto"/>
            </w:tcBorders>
            <w:shd w:val="clear" w:color="000000" w:fill="D9D9D9"/>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Tipo de Ativo</w:t>
            </w:r>
          </w:p>
        </w:tc>
        <w:tc>
          <w:tcPr>
            <w:tcW w:w="630" w:type="pct"/>
            <w:tcBorders>
              <w:top w:val="single" w:sz="8" w:space="0" w:color="auto"/>
              <w:left w:val="nil"/>
              <w:bottom w:val="single" w:sz="8" w:space="0" w:color="auto"/>
              <w:right w:val="single" w:sz="4" w:space="0" w:color="auto"/>
            </w:tcBorders>
            <w:shd w:val="clear" w:color="000000" w:fill="D9D9D9"/>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Limite da Resolução CMN %</w:t>
            </w:r>
          </w:p>
        </w:tc>
        <w:tc>
          <w:tcPr>
            <w:tcW w:w="630" w:type="pct"/>
            <w:tcBorders>
              <w:top w:val="single" w:sz="8" w:space="0" w:color="auto"/>
              <w:left w:val="nil"/>
              <w:bottom w:val="single" w:sz="8" w:space="0" w:color="auto"/>
              <w:right w:val="nil"/>
            </w:tcBorders>
            <w:shd w:val="clear" w:color="000000" w:fill="D9D9D9"/>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Posição Atual da Carteira (%) - Set/16</w:t>
            </w:r>
          </w:p>
        </w:tc>
        <w:tc>
          <w:tcPr>
            <w:tcW w:w="471" w:type="pct"/>
            <w:tcBorders>
              <w:top w:val="nil"/>
              <w:left w:val="single" w:sz="8" w:space="0" w:color="auto"/>
              <w:bottom w:val="single" w:sz="8" w:space="0" w:color="auto"/>
              <w:right w:val="single" w:sz="4" w:space="0" w:color="auto"/>
            </w:tcBorders>
            <w:shd w:val="clear" w:color="000000" w:fill="D9D9D9"/>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Limite Inferior (%)</w:t>
            </w:r>
          </w:p>
        </w:tc>
        <w:tc>
          <w:tcPr>
            <w:tcW w:w="471" w:type="pct"/>
            <w:tcBorders>
              <w:top w:val="nil"/>
              <w:left w:val="nil"/>
              <w:bottom w:val="single" w:sz="8" w:space="0" w:color="auto"/>
              <w:right w:val="single" w:sz="4" w:space="0" w:color="auto"/>
            </w:tcBorders>
            <w:shd w:val="clear" w:color="000000" w:fill="D9D9D9"/>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Estratégia Alvo (%)</w:t>
            </w:r>
          </w:p>
        </w:tc>
        <w:tc>
          <w:tcPr>
            <w:tcW w:w="471" w:type="pct"/>
            <w:tcBorders>
              <w:top w:val="nil"/>
              <w:left w:val="nil"/>
              <w:bottom w:val="single" w:sz="8" w:space="0" w:color="auto"/>
              <w:right w:val="single" w:sz="8" w:space="0" w:color="auto"/>
            </w:tcBorders>
            <w:shd w:val="clear" w:color="000000" w:fill="D9D9D9"/>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Limite Superior (%)</w:t>
            </w:r>
          </w:p>
        </w:tc>
      </w:tr>
      <w:tr w:rsidR="002B719F" w:rsidRPr="00815C55" w:rsidTr="002B719F">
        <w:trPr>
          <w:trHeight w:val="300"/>
        </w:trPr>
        <w:tc>
          <w:tcPr>
            <w:tcW w:w="345" w:type="pct"/>
            <w:vMerge w:val="restart"/>
            <w:tcBorders>
              <w:top w:val="nil"/>
              <w:left w:val="single" w:sz="8" w:space="0" w:color="auto"/>
              <w:bottom w:val="single" w:sz="8" w:space="0" w:color="000000"/>
              <w:right w:val="single" w:sz="8" w:space="0" w:color="auto"/>
            </w:tcBorders>
            <w:shd w:val="clear" w:color="000000" w:fill="D9D9D9"/>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Renda Fixa</w:t>
            </w:r>
          </w:p>
        </w:tc>
        <w:tc>
          <w:tcPr>
            <w:tcW w:w="1983" w:type="pct"/>
            <w:tcBorders>
              <w:top w:val="nil"/>
              <w:left w:val="nil"/>
              <w:bottom w:val="single" w:sz="4" w:space="0" w:color="auto"/>
              <w:right w:val="single" w:sz="4" w:space="0" w:color="auto"/>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r w:rsidRPr="00815C55">
              <w:rPr>
                <w:rFonts w:eastAsia="Times New Roman" w:cs="Calibri"/>
                <w:color w:val="000000"/>
                <w:sz w:val="14"/>
                <w:szCs w:val="14"/>
                <w:lang w:eastAsia="pt-BR"/>
              </w:rPr>
              <w:t>Títulos Tesouro Nacional – SELIC - Art. 7º, I, “a”.</w:t>
            </w:r>
          </w:p>
        </w:tc>
        <w:tc>
          <w:tcPr>
            <w:tcW w:w="630" w:type="pct"/>
            <w:tcBorders>
              <w:top w:val="nil"/>
              <w:left w:val="nil"/>
              <w:bottom w:val="single" w:sz="4" w:space="0" w:color="auto"/>
              <w:right w:val="single" w:sz="4" w:space="0" w:color="auto"/>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100,00%</w:t>
            </w:r>
          </w:p>
        </w:tc>
        <w:tc>
          <w:tcPr>
            <w:tcW w:w="630" w:type="pct"/>
            <w:tcBorders>
              <w:top w:val="nil"/>
              <w:left w:val="nil"/>
              <w:bottom w:val="single" w:sz="4" w:space="0" w:color="auto"/>
              <w:right w:val="nil"/>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single" w:sz="8" w:space="0" w:color="auto"/>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single" w:sz="4" w:space="0" w:color="auto"/>
              <w:right w:val="single" w:sz="8"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r>
      <w:tr w:rsidR="002B719F" w:rsidRPr="00815C55" w:rsidTr="002B719F">
        <w:trPr>
          <w:trHeight w:val="300"/>
        </w:trPr>
        <w:tc>
          <w:tcPr>
            <w:tcW w:w="345" w:type="pct"/>
            <w:vMerge/>
            <w:tcBorders>
              <w:top w:val="nil"/>
              <w:left w:val="single" w:sz="8" w:space="0" w:color="auto"/>
              <w:bottom w:val="single" w:sz="8" w:space="0" w:color="000000"/>
              <w:right w:val="single" w:sz="8" w:space="0" w:color="auto"/>
            </w:tcBorders>
            <w:vAlign w:val="center"/>
            <w:hideMark/>
          </w:tcPr>
          <w:p w:rsidR="002B719F" w:rsidRPr="00815C55" w:rsidRDefault="002B719F" w:rsidP="002B719F">
            <w:pPr>
              <w:spacing w:after="0" w:line="240" w:lineRule="auto"/>
              <w:rPr>
                <w:rFonts w:eastAsia="Times New Roman" w:cs="Calibri"/>
                <w:b/>
                <w:bCs/>
                <w:color w:val="000000"/>
                <w:sz w:val="14"/>
                <w:szCs w:val="14"/>
                <w:lang w:eastAsia="pt-BR"/>
              </w:rPr>
            </w:pPr>
          </w:p>
        </w:tc>
        <w:tc>
          <w:tcPr>
            <w:tcW w:w="1983" w:type="pct"/>
            <w:tcBorders>
              <w:top w:val="nil"/>
              <w:left w:val="nil"/>
              <w:bottom w:val="single" w:sz="4" w:space="0" w:color="auto"/>
              <w:right w:val="single" w:sz="4" w:space="0" w:color="auto"/>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r w:rsidRPr="00815C55">
              <w:rPr>
                <w:rFonts w:eastAsia="Times New Roman" w:cs="Calibri"/>
                <w:color w:val="000000"/>
                <w:sz w:val="14"/>
                <w:szCs w:val="14"/>
                <w:lang w:eastAsia="pt-BR"/>
              </w:rPr>
              <w:t>FI 100% títulos TN - Art. 7º, I, "b"</w:t>
            </w:r>
          </w:p>
        </w:tc>
        <w:tc>
          <w:tcPr>
            <w:tcW w:w="630" w:type="pct"/>
            <w:tcBorders>
              <w:top w:val="nil"/>
              <w:left w:val="nil"/>
              <w:bottom w:val="single" w:sz="4" w:space="0" w:color="auto"/>
              <w:right w:val="single" w:sz="4" w:space="0" w:color="auto"/>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100,00%</w:t>
            </w:r>
          </w:p>
        </w:tc>
        <w:tc>
          <w:tcPr>
            <w:tcW w:w="630" w:type="pct"/>
            <w:tcBorders>
              <w:top w:val="nil"/>
              <w:left w:val="single" w:sz="4" w:space="0" w:color="auto"/>
              <w:bottom w:val="single" w:sz="4" w:space="0" w:color="auto"/>
              <w:right w:val="nil"/>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58,06%</w:t>
            </w:r>
          </w:p>
        </w:tc>
        <w:tc>
          <w:tcPr>
            <w:tcW w:w="471" w:type="pct"/>
            <w:tcBorders>
              <w:top w:val="nil"/>
              <w:left w:val="single" w:sz="8" w:space="0" w:color="auto"/>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30,00%</w:t>
            </w:r>
          </w:p>
        </w:tc>
        <w:tc>
          <w:tcPr>
            <w:tcW w:w="471" w:type="pct"/>
            <w:tcBorders>
              <w:top w:val="nil"/>
              <w:left w:val="nil"/>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50,00%</w:t>
            </w:r>
          </w:p>
        </w:tc>
        <w:tc>
          <w:tcPr>
            <w:tcW w:w="471" w:type="pct"/>
            <w:tcBorders>
              <w:top w:val="nil"/>
              <w:left w:val="nil"/>
              <w:bottom w:val="single" w:sz="4" w:space="0" w:color="auto"/>
              <w:right w:val="single" w:sz="8"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70,00%</w:t>
            </w:r>
          </w:p>
        </w:tc>
      </w:tr>
      <w:tr w:rsidR="002B719F" w:rsidRPr="00815C55" w:rsidTr="002B719F">
        <w:trPr>
          <w:trHeight w:val="315"/>
        </w:trPr>
        <w:tc>
          <w:tcPr>
            <w:tcW w:w="345" w:type="pct"/>
            <w:vMerge/>
            <w:tcBorders>
              <w:top w:val="nil"/>
              <w:left w:val="single" w:sz="8" w:space="0" w:color="auto"/>
              <w:bottom w:val="single" w:sz="8" w:space="0" w:color="000000"/>
              <w:right w:val="single" w:sz="8" w:space="0" w:color="auto"/>
            </w:tcBorders>
            <w:vAlign w:val="center"/>
            <w:hideMark/>
          </w:tcPr>
          <w:p w:rsidR="002B719F" w:rsidRPr="00815C55" w:rsidRDefault="002B719F" w:rsidP="002B719F">
            <w:pPr>
              <w:spacing w:after="0" w:line="240" w:lineRule="auto"/>
              <w:rPr>
                <w:rFonts w:eastAsia="Times New Roman" w:cs="Calibri"/>
                <w:b/>
                <w:bCs/>
                <w:color w:val="000000"/>
                <w:sz w:val="14"/>
                <w:szCs w:val="14"/>
                <w:lang w:eastAsia="pt-BR"/>
              </w:rPr>
            </w:pPr>
          </w:p>
        </w:tc>
        <w:tc>
          <w:tcPr>
            <w:tcW w:w="1983" w:type="pct"/>
            <w:tcBorders>
              <w:top w:val="nil"/>
              <w:left w:val="nil"/>
              <w:bottom w:val="single" w:sz="4" w:space="0" w:color="auto"/>
              <w:right w:val="single" w:sz="4" w:space="0" w:color="auto"/>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r w:rsidRPr="00815C55">
              <w:rPr>
                <w:rFonts w:eastAsia="Times New Roman" w:cs="Calibri"/>
                <w:color w:val="000000"/>
                <w:sz w:val="14"/>
                <w:szCs w:val="14"/>
                <w:lang w:eastAsia="pt-BR"/>
              </w:rPr>
              <w:t>Operações Compromissadas - Art. 7º, II</w:t>
            </w:r>
          </w:p>
        </w:tc>
        <w:tc>
          <w:tcPr>
            <w:tcW w:w="630" w:type="pct"/>
            <w:tcBorders>
              <w:top w:val="nil"/>
              <w:left w:val="nil"/>
              <w:bottom w:val="single" w:sz="4" w:space="0" w:color="auto"/>
              <w:right w:val="single" w:sz="4" w:space="0" w:color="auto"/>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15,00%</w:t>
            </w:r>
          </w:p>
        </w:tc>
        <w:tc>
          <w:tcPr>
            <w:tcW w:w="630" w:type="pct"/>
            <w:tcBorders>
              <w:top w:val="nil"/>
              <w:left w:val="nil"/>
              <w:bottom w:val="single" w:sz="4" w:space="0" w:color="auto"/>
              <w:right w:val="nil"/>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single" w:sz="8" w:space="0" w:color="auto"/>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single" w:sz="4" w:space="0" w:color="auto"/>
              <w:right w:val="single" w:sz="8"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r>
      <w:tr w:rsidR="002B719F" w:rsidRPr="00815C55" w:rsidTr="002B719F">
        <w:trPr>
          <w:trHeight w:val="300"/>
        </w:trPr>
        <w:tc>
          <w:tcPr>
            <w:tcW w:w="345" w:type="pct"/>
            <w:vMerge/>
            <w:tcBorders>
              <w:top w:val="nil"/>
              <w:left w:val="single" w:sz="8" w:space="0" w:color="auto"/>
              <w:bottom w:val="single" w:sz="8" w:space="0" w:color="000000"/>
              <w:right w:val="single" w:sz="8" w:space="0" w:color="auto"/>
            </w:tcBorders>
            <w:vAlign w:val="center"/>
            <w:hideMark/>
          </w:tcPr>
          <w:p w:rsidR="002B719F" w:rsidRPr="00815C55" w:rsidRDefault="002B719F" w:rsidP="002B719F">
            <w:pPr>
              <w:spacing w:after="0" w:line="240" w:lineRule="auto"/>
              <w:rPr>
                <w:rFonts w:eastAsia="Times New Roman" w:cs="Calibri"/>
                <w:b/>
                <w:bCs/>
                <w:color w:val="000000"/>
                <w:sz w:val="14"/>
                <w:szCs w:val="14"/>
                <w:lang w:eastAsia="pt-BR"/>
              </w:rPr>
            </w:pPr>
          </w:p>
        </w:tc>
        <w:tc>
          <w:tcPr>
            <w:tcW w:w="1983" w:type="pct"/>
            <w:tcBorders>
              <w:top w:val="nil"/>
              <w:left w:val="nil"/>
              <w:bottom w:val="single" w:sz="4" w:space="0" w:color="auto"/>
              <w:right w:val="single" w:sz="4" w:space="0" w:color="auto"/>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r w:rsidRPr="00815C55">
              <w:rPr>
                <w:rFonts w:eastAsia="Times New Roman" w:cs="Calibri"/>
                <w:color w:val="000000"/>
                <w:sz w:val="14"/>
                <w:szCs w:val="14"/>
                <w:lang w:eastAsia="pt-BR"/>
              </w:rPr>
              <w:t>FI Renda Fixa/Referenciados RF - Art. 7º, III, Alínea “a”</w:t>
            </w:r>
          </w:p>
        </w:tc>
        <w:tc>
          <w:tcPr>
            <w:tcW w:w="630" w:type="pct"/>
            <w:tcBorders>
              <w:top w:val="nil"/>
              <w:left w:val="nil"/>
              <w:bottom w:val="single" w:sz="4" w:space="0" w:color="auto"/>
              <w:right w:val="single" w:sz="4" w:space="0" w:color="auto"/>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80,00%</w:t>
            </w:r>
          </w:p>
        </w:tc>
        <w:tc>
          <w:tcPr>
            <w:tcW w:w="630" w:type="pct"/>
            <w:tcBorders>
              <w:top w:val="nil"/>
              <w:left w:val="single" w:sz="4" w:space="0" w:color="auto"/>
              <w:bottom w:val="single" w:sz="4" w:space="0" w:color="auto"/>
              <w:right w:val="nil"/>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14,48%</w:t>
            </w:r>
          </w:p>
        </w:tc>
        <w:tc>
          <w:tcPr>
            <w:tcW w:w="471" w:type="pct"/>
            <w:tcBorders>
              <w:top w:val="nil"/>
              <w:left w:val="single" w:sz="8" w:space="0" w:color="auto"/>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15,00%</w:t>
            </w:r>
          </w:p>
        </w:tc>
        <w:tc>
          <w:tcPr>
            <w:tcW w:w="471" w:type="pct"/>
            <w:tcBorders>
              <w:top w:val="nil"/>
              <w:left w:val="nil"/>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20,00%</w:t>
            </w:r>
          </w:p>
        </w:tc>
        <w:tc>
          <w:tcPr>
            <w:tcW w:w="471" w:type="pct"/>
            <w:tcBorders>
              <w:top w:val="nil"/>
              <w:left w:val="nil"/>
              <w:bottom w:val="single" w:sz="4" w:space="0" w:color="auto"/>
              <w:right w:val="single" w:sz="8"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60,00%</w:t>
            </w:r>
          </w:p>
        </w:tc>
      </w:tr>
      <w:tr w:rsidR="002B719F" w:rsidRPr="00815C55" w:rsidTr="002B719F">
        <w:trPr>
          <w:trHeight w:val="315"/>
        </w:trPr>
        <w:tc>
          <w:tcPr>
            <w:tcW w:w="345" w:type="pct"/>
            <w:vMerge/>
            <w:tcBorders>
              <w:top w:val="nil"/>
              <w:left w:val="single" w:sz="8" w:space="0" w:color="auto"/>
              <w:bottom w:val="single" w:sz="8" w:space="0" w:color="000000"/>
              <w:right w:val="single" w:sz="8" w:space="0" w:color="auto"/>
            </w:tcBorders>
            <w:vAlign w:val="center"/>
            <w:hideMark/>
          </w:tcPr>
          <w:p w:rsidR="002B719F" w:rsidRPr="00815C55" w:rsidRDefault="002B719F" w:rsidP="002B719F">
            <w:pPr>
              <w:spacing w:after="0" w:line="240" w:lineRule="auto"/>
              <w:rPr>
                <w:rFonts w:eastAsia="Times New Roman" w:cs="Calibri"/>
                <w:b/>
                <w:bCs/>
                <w:color w:val="000000"/>
                <w:sz w:val="14"/>
                <w:szCs w:val="14"/>
                <w:lang w:eastAsia="pt-BR"/>
              </w:rPr>
            </w:pPr>
          </w:p>
        </w:tc>
        <w:tc>
          <w:tcPr>
            <w:tcW w:w="1983" w:type="pct"/>
            <w:tcBorders>
              <w:top w:val="nil"/>
              <w:left w:val="nil"/>
              <w:bottom w:val="single" w:sz="4" w:space="0" w:color="auto"/>
              <w:right w:val="single" w:sz="4" w:space="0" w:color="auto"/>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r w:rsidRPr="00815C55">
              <w:rPr>
                <w:rFonts w:eastAsia="Times New Roman" w:cs="Calibri"/>
                <w:color w:val="000000"/>
                <w:sz w:val="14"/>
                <w:szCs w:val="14"/>
                <w:lang w:eastAsia="pt-BR"/>
              </w:rPr>
              <w:t>FI de Índices Renda Fixa - Art. 7º, III, Alínea “b”</w:t>
            </w:r>
          </w:p>
        </w:tc>
        <w:tc>
          <w:tcPr>
            <w:tcW w:w="630" w:type="pct"/>
            <w:tcBorders>
              <w:top w:val="nil"/>
              <w:left w:val="nil"/>
              <w:bottom w:val="single" w:sz="4" w:space="0" w:color="auto"/>
              <w:right w:val="single" w:sz="4" w:space="0" w:color="auto"/>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80,00%</w:t>
            </w:r>
          </w:p>
        </w:tc>
        <w:tc>
          <w:tcPr>
            <w:tcW w:w="630" w:type="pct"/>
            <w:tcBorders>
              <w:top w:val="nil"/>
              <w:left w:val="nil"/>
              <w:bottom w:val="single" w:sz="4" w:space="0" w:color="auto"/>
              <w:right w:val="nil"/>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single" w:sz="8" w:space="0" w:color="auto"/>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single" w:sz="4" w:space="0" w:color="auto"/>
              <w:right w:val="single" w:sz="8"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r>
      <w:tr w:rsidR="002B719F" w:rsidRPr="00815C55" w:rsidTr="002B719F">
        <w:trPr>
          <w:trHeight w:val="300"/>
        </w:trPr>
        <w:tc>
          <w:tcPr>
            <w:tcW w:w="345" w:type="pct"/>
            <w:vMerge/>
            <w:tcBorders>
              <w:top w:val="nil"/>
              <w:left w:val="single" w:sz="8" w:space="0" w:color="auto"/>
              <w:bottom w:val="single" w:sz="8" w:space="0" w:color="000000"/>
              <w:right w:val="single" w:sz="8" w:space="0" w:color="auto"/>
            </w:tcBorders>
            <w:vAlign w:val="center"/>
            <w:hideMark/>
          </w:tcPr>
          <w:p w:rsidR="002B719F" w:rsidRPr="00815C55" w:rsidRDefault="002B719F" w:rsidP="002B719F">
            <w:pPr>
              <w:spacing w:after="0" w:line="240" w:lineRule="auto"/>
              <w:rPr>
                <w:rFonts w:eastAsia="Times New Roman" w:cs="Calibri"/>
                <w:b/>
                <w:bCs/>
                <w:color w:val="000000"/>
                <w:sz w:val="14"/>
                <w:szCs w:val="14"/>
                <w:lang w:eastAsia="pt-BR"/>
              </w:rPr>
            </w:pPr>
          </w:p>
        </w:tc>
        <w:tc>
          <w:tcPr>
            <w:tcW w:w="1983" w:type="pct"/>
            <w:tcBorders>
              <w:top w:val="nil"/>
              <w:left w:val="nil"/>
              <w:bottom w:val="single" w:sz="4" w:space="0" w:color="auto"/>
              <w:right w:val="single" w:sz="4" w:space="0" w:color="auto"/>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r w:rsidRPr="00815C55">
              <w:rPr>
                <w:rFonts w:eastAsia="Times New Roman" w:cs="Calibri"/>
                <w:color w:val="000000"/>
                <w:sz w:val="14"/>
                <w:szCs w:val="14"/>
                <w:lang w:eastAsia="pt-BR"/>
              </w:rPr>
              <w:t>FI de Renda Fixa - Art. 7º, IV, Alínea “a”</w:t>
            </w:r>
          </w:p>
        </w:tc>
        <w:tc>
          <w:tcPr>
            <w:tcW w:w="630" w:type="pct"/>
            <w:tcBorders>
              <w:top w:val="nil"/>
              <w:left w:val="nil"/>
              <w:bottom w:val="single" w:sz="4" w:space="0" w:color="auto"/>
              <w:right w:val="single" w:sz="4" w:space="0" w:color="auto"/>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30,00%</w:t>
            </w:r>
          </w:p>
        </w:tc>
        <w:tc>
          <w:tcPr>
            <w:tcW w:w="630" w:type="pct"/>
            <w:tcBorders>
              <w:top w:val="nil"/>
              <w:left w:val="single" w:sz="4" w:space="0" w:color="auto"/>
              <w:bottom w:val="single" w:sz="4" w:space="0" w:color="auto"/>
              <w:right w:val="nil"/>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25,03%</w:t>
            </w:r>
          </w:p>
        </w:tc>
        <w:tc>
          <w:tcPr>
            <w:tcW w:w="471" w:type="pct"/>
            <w:tcBorders>
              <w:top w:val="nil"/>
              <w:left w:val="single" w:sz="8" w:space="0" w:color="auto"/>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5,00%</w:t>
            </w:r>
          </w:p>
        </w:tc>
        <w:tc>
          <w:tcPr>
            <w:tcW w:w="471" w:type="pct"/>
            <w:tcBorders>
              <w:top w:val="nil"/>
              <w:left w:val="nil"/>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5,00%</w:t>
            </w:r>
          </w:p>
        </w:tc>
        <w:tc>
          <w:tcPr>
            <w:tcW w:w="471" w:type="pct"/>
            <w:tcBorders>
              <w:top w:val="nil"/>
              <w:left w:val="nil"/>
              <w:bottom w:val="single" w:sz="4" w:space="0" w:color="auto"/>
              <w:right w:val="single" w:sz="8"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30,00%</w:t>
            </w:r>
          </w:p>
        </w:tc>
      </w:tr>
      <w:tr w:rsidR="002B719F" w:rsidRPr="00815C55" w:rsidTr="002B719F">
        <w:trPr>
          <w:trHeight w:val="300"/>
        </w:trPr>
        <w:tc>
          <w:tcPr>
            <w:tcW w:w="345" w:type="pct"/>
            <w:vMerge/>
            <w:tcBorders>
              <w:top w:val="nil"/>
              <w:left w:val="single" w:sz="8" w:space="0" w:color="auto"/>
              <w:bottom w:val="single" w:sz="8" w:space="0" w:color="000000"/>
              <w:right w:val="single" w:sz="8" w:space="0" w:color="auto"/>
            </w:tcBorders>
            <w:vAlign w:val="center"/>
            <w:hideMark/>
          </w:tcPr>
          <w:p w:rsidR="002B719F" w:rsidRPr="00815C55" w:rsidRDefault="002B719F" w:rsidP="002B719F">
            <w:pPr>
              <w:spacing w:after="0" w:line="240" w:lineRule="auto"/>
              <w:rPr>
                <w:rFonts w:eastAsia="Times New Roman" w:cs="Calibri"/>
                <w:b/>
                <w:bCs/>
                <w:color w:val="000000"/>
                <w:sz w:val="14"/>
                <w:szCs w:val="14"/>
                <w:lang w:eastAsia="pt-BR"/>
              </w:rPr>
            </w:pPr>
          </w:p>
        </w:tc>
        <w:tc>
          <w:tcPr>
            <w:tcW w:w="1983" w:type="pct"/>
            <w:tcBorders>
              <w:top w:val="nil"/>
              <w:left w:val="nil"/>
              <w:bottom w:val="single" w:sz="4" w:space="0" w:color="auto"/>
              <w:right w:val="single" w:sz="4" w:space="0" w:color="auto"/>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r w:rsidRPr="00815C55">
              <w:rPr>
                <w:rFonts w:eastAsia="Times New Roman" w:cs="Calibri"/>
                <w:color w:val="000000"/>
                <w:sz w:val="14"/>
                <w:szCs w:val="14"/>
                <w:lang w:eastAsia="pt-BR"/>
              </w:rPr>
              <w:t>FI de Índices Renda Fixa - Art. 7º, IV, Alínea “b”</w:t>
            </w:r>
          </w:p>
        </w:tc>
        <w:tc>
          <w:tcPr>
            <w:tcW w:w="630" w:type="pct"/>
            <w:tcBorders>
              <w:top w:val="nil"/>
              <w:left w:val="nil"/>
              <w:bottom w:val="single" w:sz="4" w:space="0" w:color="auto"/>
              <w:right w:val="single" w:sz="4" w:space="0" w:color="auto"/>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30,00%</w:t>
            </w:r>
          </w:p>
        </w:tc>
        <w:tc>
          <w:tcPr>
            <w:tcW w:w="630" w:type="pct"/>
            <w:tcBorders>
              <w:top w:val="nil"/>
              <w:left w:val="nil"/>
              <w:bottom w:val="single" w:sz="4" w:space="0" w:color="auto"/>
              <w:right w:val="nil"/>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single" w:sz="8" w:space="0" w:color="auto"/>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single" w:sz="4" w:space="0" w:color="auto"/>
              <w:right w:val="single" w:sz="8"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r>
      <w:tr w:rsidR="002B719F" w:rsidRPr="00815C55" w:rsidTr="002B719F">
        <w:trPr>
          <w:trHeight w:val="300"/>
        </w:trPr>
        <w:tc>
          <w:tcPr>
            <w:tcW w:w="345" w:type="pct"/>
            <w:vMerge/>
            <w:tcBorders>
              <w:top w:val="nil"/>
              <w:left w:val="single" w:sz="8" w:space="0" w:color="auto"/>
              <w:bottom w:val="single" w:sz="8" w:space="0" w:color="000000"/>
              <w:right w:val="single" w:sz="8" w:space="0" w:color="auto"/>
            </w:tcBorders>
            <w:vAlign w:val="center"/>
            <w:hideMark/>
          </w:tcPr>
          <w:p w:rsidR="002B719F" w:rsidRPr="00815C55" w:rsidRDefault="002B719F" w:rsidP="002B719F">
            <w:pPr>
              <w:spacing w:after="0" w:line="240" w:lineRule="auto"/>
              <w:rPr>
                <w:rFonts w:eastAsia="Times New Roman" w:cs="Calibri"/>
                <w:b/>
                <w:bCs/>
                <w:color w:val="000000"/>
                <w:sz w:val="14"/>
                <w:szCs w:val="14"/>
                <w:lang w:eastAsia="pt-BR"/>
              </w:rPr>
            </w:pPr>
          </w:p>
        </w:tc>
        <w:tc>
          <w:tcPr>
            <w:tcW w:w="1983" w:type="pct"/>
            <w:tcBorders>
              <w:top w:val="nil"/>
              <w:left w:val="nil"/>
              <w:bottom w:val="single" w:sz="4" w:space="0" w:color="auto"/>
              <w:right w:val="single" w:sz="4" w:space="0" w:color="auto"/>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r w:rsidRPr="00815C55">
              <w:rPr>
                <w:rFonts w:eastAsia="Times New Roman" w:cs="Calibri"/>
                <w:color w:val="000000"/>
                <w:sz w:val="14"/>
                <w:szCs w:val="14"/>
                <w:lang w:eastAsia="pt-BR"/>
              </w:rPr>
              <w:t>Poupança - Art. 7º, V, Alínea “a”</w:t>
            </w:r>
          </w:p>
        </w:tc>
        <w:tc>
          <w:tcPr>
            <w:tcW w:w="630" w:type="pct"/>
            <w:tcBorders>
              <w:top w:val="nil"/>
              <w:left w:val="nil"/>
              <w:bottom w:val="single" w:sz="4" w:space="0" w:color="auto"/>
              <w:right w:val="single" w:sz="4" w:space="0" w:color="auto"/>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20,00%</w:t>
            </w:r>
          </w:p>
        </w:tc>
        <w:tc>
          <w:tcPr>
            <w:tcW w:w="630" w:type="pct"/>
            <w:tcBorders>
              <w:top w:val="nil"/>
              <w:left w:val="nil"/>
              <w:bottom w:val="single" w:sz="4" w:space="0" w:color="auto"/>
              <w:right w:val="nil"/>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single" w:sz="8" w:space="0" w:color="auto"/>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single" w:sz="4" w:space="0" w:color="auto"/>
              <w:right w:val="single" w:sz="8"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r>
      <w:tr w:rsidR="002B719F" w:rsidRPr="00815C55" w:rsidTr="002B719F">
        <w:trPr>
          <w:trHeight w:val="300"/>
        </w:trPr>
        <w:tc>
          <w:tcPr>
            <w:tcW w:w="345" w:type="pct"/>
            <w:vMerge/>
            <w:tcBorders>
              <w:top w:val="nil"/>
              <w:left w:val="single" w:sz="8" w:space="0" w:color="auto"/>
              <w:bottom w:val="single" w:sz="8" w:space="0" w:color="000000"/>
              <w:right w:val="single" w:sz="8" w:space="0" w:color="auto"/>
            </w:tcBorders>
            <w:vAlign w:val="center"/>
            <w:hideMark/>
          </w:tcPr>
          <w:p w:rsidR="002B719F" w:rsidRPr="00815C55" w:rsidRDefault="002B719F" w:rsidP="002B719F">
            <w:pPr>
              <w:spacing w:after="0" w:line="240" w:lineRule="auto"/>
              <w:rPr>
                <w:rFonts w:eastAsia="Times New Roman" w:cs="Calibri"/>
                <w:b/>
                <w:bCs/>
                <w:color w:val="000000"/>
                <w:sz w:val="14"/>
                <w:szCs w:val="14"/>
                <w:lang w:eastAsia="pt-BR"/>
              </w:rPr>
            </w:pPr>
          </w:p>
        </w:tc>
        <w:tc>
          <w:tcPr>
            <w:tcW w:w="1983" w:type="pct"/>
            <w:tcBorders>
              <w:top w:val="nil"/>
              <w:left w:val="nil"/>
              <w:bottom w:val="single" w:sz="4" w:space="0" w:color="auto"/>
              <w:right w:val="single" w:sz="4" w:space="0" w:color="auto"/>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r w:rsidRPr="00815C55">
              <w:rPr>
                <w:rFonts w:eastAsia="Times New Roman" w:cs="Calibri"/>
                <w:color w:val="000000"/>
                <w:sz w:val="14"/>
                <w:szCs w:val="14"/>
                <w:lang w:eastAsia="pt-BR"/>
              </w:rPr>
              <w:t>Letras Imobiliárias Garantidas- Art. 7º, V, Alínea “a”</w:t>
            </w:r>
          </w:p>
        </w:tc>
        <w:tc>
          <w:tcPr>
            <w:tcW w:w="630" w:type="pct"/>
            <w:tcBorders>
              <w:top w:val="nil"/>
              <w:left w:val="nil"/>
              <w:bottom w:val="single" w:sz="4" w:space="0" w:color="auto"/>
              <w:right w:val="single" w:sz="4" w:space="0" w:color="auto"/>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20,00%</w:t>
            </w:r>
          </w:p>
        </w:tc>
        <w:tc>
          <w:tcPr>
            <w:tcW w:w="630" w:type="pct"/>
            <w:tcBorders>
              <w:top w:val="nil"/>
              <w:left w:val="nil"/>
              <w:bottom w:val="single" w:sz="4" w:space="0" w:color="auto"/>
              <w:right w:val="nil"/>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single" w:sz="8" w:space="0" w:color="auto"/>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single" w:sz="4" w:space="0" w:color="auto"/>
              <w:right w:val="single" w:sz="8"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r>
      <w:tr w:rsidR="002B719F" w:rsidRPr="00815C55" w:rsidTr="002B719F">
        <w:trPr>
          <w:trHeight w:val="300"/>
        </w:trPr>
        <w:tc>
          <w:tcPr>
            <w:tcW w:w="345" w:type="pct"/>
            <w:vMerge/>
            <w:tcBorders>
              <w:top w:val="nil"/>
              <w:left w:val="single" w:sz="8" w:space="0" w:color="auto"/>
              <w:bottom w:val="single" w:sz="8" w:space="0" w:color="000000"/>
              <w:right w:val="single" w:sz="8" w:space="0" w:color="auto"/>
            </w:tcBorders>
            <w:vAlign w:val="center"/>
            <w:hideMark/>
          </w:tcPr>
          <w:p w:rsidR="002B719F" w:rsidRPr="00815C55" w:rsidRDefault="002B719F" w:rsidP="002B719F">
            <w:pPr>
              <w:spacing w:after="0" w:line="240" w:lineRule="auto"/>
              <w:rPr>
                <w:rFonts w:eastAsia="Times New Roman" w:cs="Calibri"/>
                <w:b/>
                <w:bCs/>
                <w:color w:val="000000"/>
                <w:sz w:val="14"/>
                <w:szCs w:val="14"/>
                <w:lang w:eastAsia="pt-BR"/>
              </w:rPr>
            </w:pPr>
          </w:p>
        </w:tc>
        <w:tc>
          <w:tcPr>
            <w:tcW w:w="1983" w:type="pct"/>
            <w:tcBorders>
              <w:top w:val="nil"/>
              <w:left w:val="nil"/>
              <w:bottom w:val="single" w:sz="4" w:space="0" w:color="auto"/>
              <w:right w:val="single" w:sz="4" w:space="0" w:color="auto"/>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r w:rsidRPr="00815C55">
              <w:rPr>
                <w:rFonts w:eastAsia="Times New Roman" w:cs="Calibri"/>
                <w:color w:val="000000"/>
                <w:sz w:val="14"/>
                <w:szCs w:val="14"/>
                <w:lang w:eastAsia="pt-BR"/>
              </w:rPr>
              <w:t>FI em Direitos Creditórios - aberto - sênior Art. 7º, VI.</w:t>
            </w:r>
          </w:p>
        </w:tc>
        <w:tc>
          <w:tcPr>
            <w:tcW w:w="630" w:type="pct"/>
            <w:tcBorders>
              <w:top w:val="nil"/>
              <w:left w:val="nil"/>
              <w:bottom w:val="single" w:sz="4" w:space="0" w:color="auto"/>
              <w:right w:val="single" w:sz="4" w:space="0" w:color="auto"/>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15,00%</w:t>
            </w:r>
          </w:p>
        </w:tc>
        <w:tc>
          <w:tcPr>
            <w:tcW w:w="630" w:type="pct"/>
            <w:tcBorders>
              <w:top w:val="nil"/>
              <w:left w:val="nil"/>
              <w:bottom w:val="single" w:sz="4" w:space="0" w:color="auto"/>
              <w:right w:val="nil"/>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single" w:sz="8" w:space="0" w:color="auto"/>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5,00%</w:t>
            </w:r>
          </w:p>
        </w:tc>
        <w:tc>
          <w:tcPr>
            <w:tcW w:w="471" w:type="pct"/>
            <w:tcBorders>
              <w:top w:val="nil"/>
              <w:left w:val="nil"/>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10,00%</w:t>
            </w:r>
          </w:p>
        </w:tc>
        <w:tc>
          <w:tcPr>
            <w:tcW w:w="471" w:type="pct"/>
            <w:tcBorders>
              <w:top w:val="nil"/>
              <w:left w:val="nil"/>
              <w:bottom w:val="single" w:sz="4" w:space="0" w:color="auto"/>
              <w:right w:val="single" w:sz="8"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15,00%</w:t>
            </w:r>
          </w:p>
        </w:tc>
      </w:tr>
      <w:tr w:rsidR="002B719F" w:rsidRPr="00815C55" w:rsidTr="002B719F">
        <w:trPr>
          <w:trHeight w:val="300"/>
        </w:trPr>
        <w:tc>
          <w:tcPr>
            <w:tcW w:w="345" w:type="pct"/>
            <w:vMerge/>
            <w:tcBorders>
              <w:top w:val="nil"/>
              <w:left w:val="single" w:sz="8" w:space="0" w:color="auto"/>
              <w:bottom w:val="single" w:sz="8" w:space="0" w:color="000000"/>
              <w:right w:val="single" w:sz="8" w:space="0" w:color="auto"/>
            </w:tcBorders>
            <w:vAlign w:val="center"/>
            <w:hideMark/>
          </w:tcPr>
          <w:p w:rsidR="002B719F" w:rsidRPr="00815C55" w:rsidRDefault="002B719F" w:rsidP="002B719F">
            <w:pPr>
              <w:spacing w:after="0" w:line="240" w:lineRule="auto"/>
              <w:rPr>
                <w:rFonts w:eastAsia="Times New Roman" w:cs="Calibri"/>
                <w:b/>
                <w:bCs/>
                <w:color w:val="000000"/>
                <w:sz w:val="14"/>
                <w:szCs w:val="14"/>
                <w:lang w:eastAsia="pt-BR"/>
              </w:rPr>
            </w:pPr>
          </w:p>
        </w:tc>
        <w:tc>
          <w:tcPr>
            <w:tcW w:w="1983" w:type="pct"/>
            <w:tcBorders>
              <w:top w:val="nil"/>
              <w:left w:val="nil"/>
              <w:bottom w:val="single" w:sz="4" w:space="0" w:color="auto"/>
              <w:right w:val="single" w:sz="4" w:space="0" w:color="auto"/>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r w:rsidRPr="00815C55">
              <w:rPr>
                <w:rFonts w:eastAsia="Times New Roman" w:cs="Calibri"/>
                <w:color w:val="000000"/>
                <w:sz w:val="14"/>
                <w:szCs w:val="14"/>
                <w:lang w:eastAsia="pt-BR"/>
              </w:rPr>
              <w:t>FI em Direitos Creditórios - aberto - subordinada Art. 7º, VI.</w:t>
            </w:r>
          </w:p>
        </w:tc>
        <w:tc>
          <w:tcPr>
            <w:tcW w:w="630" w:type="pct"/>
            <w:tcBorders>
              <w:top w:val="nil"/>
              <w:left w:val="nil"/>
              <w:bottom w:val="single" w:sz="4" w:space="0" w:color="auto"/>
              <w:right w:val="single" w:sz="4" w:space="0" w:color="auto"/>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630" w:type="pct"/>
            <w:tcBorders>
              <w:top w:val="nil"/>
              <w:left w:val="nil"/>
              <w:bottom w:val="single" w:sz="4" w:space="0" w:color="auto"/>
              <w:right w:val="nil"/>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single" w:sz="8" w:space="0" w:color="auto"/>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single" w:sz="4" w:space="0" w:color="auto"/>
              <w:right w:val="single" w:sz="8"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r>
      <w:tr w:rsidR="002B719F" w:rsidRPr="00815C55" w:rsidTr="002B719F">
        <w:trPr>
          <w:trHeight w:val="300"/>
        </w:trPr>
        <w:tc>
          <w:tcPr>
            <w:tcW w:w="345" w:type="pct"/>
            <w:vMerge/>
            <w:tcBorders>
              <w:top w:val="nil"/>
              <w:left w:val="single" w:sz="8" w:space="0" w:color="auto"/>
              <w:bottom w:val="single" w:sz="8" w:space="0" w:color="000000"/>
              <w:right w:val="single" w:sz="8" w:space="0" w:color="auto"/>
            </w:tcBorders>
            <w:vAlign w:val="center"/>
            <w:hideMark/>
          </w:tcPr>
          <w:p w:rsidR="002B719F" w:rsidRPr="00815C55" w:rsidRDefault="002B719F" w:rsidP="002B719F">
            <w:pPr>
              <w:spacing w:after="0" w:line="240" w:lineRule="auto"/>
              <w:rPr>
                <w:rFonts w:eastAsia="Times New Roman" w:cs="Calibri"/>
                <w:b/>
                <w:bCs/>
                <w:color w:val="000000"/>
                <w:sz w:val="14"/>
                <w:szCs w:val="14"/>
                <w:lang w:eastAsia="pt-BR"/>
              </w:rPr>
            </w:pPr>
          </w:p>
        </w:tc>
        <w:tc>
          <w:tcPr>
            <w:tcW w:w="1983" w:type="pct"/>
            <w:tcBorders>
              <w:top w:val="nil"/>
              <w:left w:val="nil"/>
              <w:bottom w:val="single" w:sz="4" w:space="0" w:color="auto"/>
              <w:right w:val="single" w:sz="4" w:space="0" w:color="auto"/>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r w:rsidRPr="00815C55">
              <w:rPr>
                <w:rFonts w:eastAsia="Times New Roman" w:cs="Calibri"/>
                <w:color w:val="000000"/>
                <w:sz w:val="14"/>
                <w:szCs w:val="14"/>
                <w:lang w:eastAsia="pt-BR"/>
              </w:rPr>
              <w:t>FI em Direitos Creditórios - fechado - sênior Art. 7º, VII, "a"</w:t>
            </w:r>
          </w:p>
        </w:tc>
        <w:tc>
          <w:tcPr>
            <w:tcW w:w="630" w:type="pct"/>
            <w:tcBorders>
              <w:top w:val="nil"/>
              <w:left w:val="nil"/>
              <w:bottom w:val="single" w:sz="4" w:space="0" w:color="auto"/>
              <w:right w:val="single" w:sz="4" w:space="0" w:color="auto"/>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5,00%</w:t>
            </w:r>
          </w:p>
        </w:tc>
        <w:tc>
          <w:tcPr>
            <w:tcW w:w="630" w:type="pct"/>
            <w:tcBorders>
              <w:top w:val="nil"/>
              <w:left w:val="nil"/>
              <w:bottom w:val="single" w:sz="4" w:space="0" w:color="auto"/>
              <w:right w:val="nil"/>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single" w:sz="8" w:space="0" w:color="auto"/>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single" w:sz="4" w:space="0" w:color="auto"/>
              <w:right w:val="single" w:sz="8"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r>
      <w:tr w:rsidR="002B719F" w:rsidRPr="00815C55" w:rsidTr="002B719F">
        <w:trPr>
          <w:trHeight w:val="300"/>
        </w:trPr>
        <w:tc>
          <w:tcPr>
            <w:tcW w:w="345" w:type="pct"/>
            <w:vMerge/>
            <w:tcBorders>
              <w:top w:val="nil"/>
              <w:left w:val="single" w:sz="8" w:space="0" w:color="auto"/>
              <w:bottom w:val="single" w:sz="8" w:space="0" w:color="000000"/>
              <w:right w:val="single" w:sz="8" w:space="0" w:color="auto"/>
            </w:tcBorders>
            <w:vAlign w:val="center"/>
            <w:hideMark/>
          </w:tcPr>
          <w:p w:rsidR="002B719F" w:rsidRPr="00815C55" w:rsidRDefault="002B719F" w:rsidP="002B719F">
            <w:pPr>
              <w:spacing w:after="0" w:line="240" w:lineRule="auto"/>
              <w:rPr>
                <w:rFonts w:eastAsia="Times New Roman" w:cs="Calibri"/>
                <w:b/>
                <w:bCs/>
                <w:color w:val="000000"/>
                <w:sz w:val="14"/>
                <w:szCs w:val="14"/>
                <w:lang w:eastAsia="pt-BR"/>
              </w:rPr>
            </w:pPr>
          </w:p>
        </w:tc>
        <w:tc>
          <w:tcPr>
            <w:tcW w:w="1983" w:type="pct"/>
            <w:tcBorders>
              <w:top w:val="nil"/>
              <w:left w:val="nil"/>
              <w:bottom w:val="nil"/>
              <w:right w:val="single" w:sz="4" w:space="0" w:color="auto"/>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r w:rsidRPr="00815C55">
              <w:rPr>
                <w:rFonts w:eastAsia="Times New Roman" w:cs="Calibri"/>
                <w:color w:val="000000"/>
                <w:sz w:val="14"/>
                <w:szCs w:val="14"/>
                <w:lang w:eastAsia="pt-BR"/>
              </w:rPr>
              <w:t>FI em Direitos Creditórios - fechado - subordinada Art. 7º, VII, "a"</w:t>
            </w:r>
          </w:p>
        </w:tc>
        <w:tc>
          <w:tcPr>
            <w:tcW w:w="630" w:type="pct"/>
            <w:tcBorders>
              <w:top w:val="nil"/>
              <w:left w:val="nil"/>
              <w:bottom w:val="nil"/>
              <w:right w:val="single" w:sz="4" w:space="0" w:color="auto"/>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630" w:type="pct"/>
            <w:tcBorders>
              <w:top w:val="nil"/>
              <w:left w:val="nil"/>
              <w:bottom w:val="nil"/>
              <w:right w:val="nil"/>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single" w:sz="8" w:space="0" w:color="auto"/>
              <w:bottom w:val="nil"/>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nil"/>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nil"/>
              <w:right w:val="single" w:sz="8"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r>
      <w:tr w:rsidR="002B719F" w:rsidRPr="00815C55" w:rsidTr="002B719F">
        <w:trPr>
          <w:trHeight w:val="315"/>
        </w:trPr>
        <w:tc>
          <w:tcPr>
            <w:tcW w:w="345" w:type="pct"/>
            <w:vMerge/>
            <w:tcBorders>
              <w:top w:val="nil"/>
              <w:left w:val="single" w:sz="8" w:space="0" w:color="auto"/>
              <w:bottom w:val="single" w:sz="8" w:space="0" w:color="000000"/>
              <w:right w:val="single" w:sz="8" w:space="0" w:color="auto"/>
            </w:tcBorders>
            <w:vAlign w:val="center"/>
            <w:hideMark/>
          </w:tcPr>
          <w:p w:rsidR="002B719F" w:rsidRPr="00815C55" w:rsidRDefault="002B719F" w:rsidP="002B719F">
            <w:pPr>
              <w:spacing w:after="0" w:line="240" w:lineRule="auto"/>
              <w:rPr>
                <w:rFonts w:eastAsia="Times New Roman" w:cs="Calibri"/>
                <w:b/>
                <w:bCs/>
                <w:color w:val="000000"/>
                <w:sz w:val="14"/>
                <w:szCs w:val="14"/>
                <w:lang w:eastAsia="pt-BR"/>
              </w:rPr>
            </w:pPr>
          </w:p>
        </w:tc>
        <w:tc>
          <w:tcPr>
            <w:tcW w:w="1983" w:type="pct"/>
            <w:tcBorders>
              <w:top w:val="single" w:sz="4" w:space="0" w:color="auto"/>
              <w:left w:val="nil"/>
              <w:bottom w:val="nil"/>
              <w:right w:val="single" w:sz="4" w:space="0" w:color="auto"/>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r w:rsidRPr="00815C55">
              <w:rPr>
                <w:rFonts w:eastAsia="Times New Roman" w:cs="Calibri"/>
                <w:color w:val="000000"/>
                <w:sz w:val="14"/>
                <w:szCs w:val="14"/>
                <w:lang w:eastAsia="pt-BR"/>
              </w:rPr>
              <w:t>FI Renda Fixa "Crédito Privado"- Art. 7º, VII, "b"</w:t>
            </w:r>
          </w:p>
        </w:tc>
        <w:tc>
          <w:tcPr>
            <w:tcW w:w="630" w:type="pct"/>
            <w:tcBorders>
              <w:top w:val="single" w:sz="4" w:space="0" w:color="auto"/>
              <w:left w:val="nil"/>
              <w:bottom w:val="nil"/>
              <w:right w:val="single" w:sz="4" w:space="0" w:color="auto"/>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5,00%</w:t>
            </w:r>
          </w:p>
        </w:tc>
        <w:tc>
          <w:tcPr>
            <w:tcW w:w="630" w:type="pct"/>
            <w:tcBorders>
              <w:top w:val="single" w:sz="4" w:space="0" w:color="auto"/>
              <w:left w:val="nil"/>
              <w:bottom w:val="nil"/>
              <w:right w:val="nil"/>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single" w:sz="4" w:space="0" w:color="auto"/>
              <w:left w:val="single" w:sz="8" w:space="0" w:color="auto"/>
              <w:bottom w:val="nil"/>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single" w:sz="4" w:space="0" w:color="auto"/>
              <w:left w:val="nil"/>
              <w:bottom w:val="nil"/>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single" w:sz="4" w:space="0" w:color="auto"/>
              <w:left w:val="nil"/>
              <w:bottom w:val="nil"/>
              <w:right w:val="single" w:sz="8"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r>
      <w:tr w:rsidR="002B719F" w:rsidRPr="00815C55" w:rsidTr="002B719F">
        <w:trPr>
          <w:trHeight w:val="315"/>
        </w:trPr>
        <w:tc>
          <w:tcPr>
            <w:tcW w:w="345" w:type="pct"/>
            <w:vMerge/>
            <w:tcBorders>
              <w:top w:val="nil"/>
              <w:left w:val="single" w:sz="8" w:space="0" w:color="auto"/>
              <w:bottom w:val="single" w:sz="8" w:space="0" w:color="000000"/>
              <w:right w:val="single" w:sz="8" w:space="0" w:color="auto"/>
            </w:tcBorders>
            <w:vAlign w:val="center"/>
            <w:hideMark/>
          </w:tcPr>
          <w:p w:rsidR="002B719F" w:rsidRPr="00815C55" w:rsidRDefault="002B719F" w:rsidP="002B719F">
            <w:pPr>
              <w:spacing w:after="0" w:line="240" w:lineRule="auto"/>
              <w:rPr>
                <w:rFonts w:eastAsia="Times New Roman" w:cs="Calibri"/>
                <w:b/>
                <w:bCs/>
                <w:color w:val="000000"/>
                <w:sz w:val="14"/>
                <w:szCs w:val="14"/>
                <w:lang w:eastAsia="pt-BR"/>
              </w:rPr>
            </w:pPr>
          </w:p>
        </w:tc>
        <w:tc>
          <w:tcPr>
            <w:tcW w:w="1983" w:type="pct"/>
            <w:tcBorders>
              <w:top w:val="single" w:sz="8" w:space="0" w:color="auto"/>
              <w:left w:val="nil"/>
              <w:bottom w:val="single" w:sz="8" w:space="0" w:color="auto"/>
              <w:right w:val="single" w:sz="4" w:space="0" w:color="auto"/>
            </w:tcBorders>
            <w:shd w:val="clear" w:color="000000" w:fill="D9D9D9"/>
            <w:noWrap/>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Subtotal</w:t>
            </w:r>
          </w:p>
        </w:tc>
        <w:tc>
          <w:tcPr>
            <w:tcW w:w="630" w:type="pct"/>
            <w:tcBorders>
              <w:top w:val="single" w:sz="8" w:space="0" w:color="auto"/>
              <w:left w:val="nil"/>
              <w:bottom w:val="single" w:sz="8" w:space="0" w:color="auto"/>
              <w:right w:val="single" w:sz="4" w:space="0" w:color="auto"/>
            </w:tcBorders>
            <w:shd w:val="clear" w:color="000000" w:fill="D9D9D9"/>
            <w:noWrap/>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500,00%</w:t>
            </w:r>
          </w:p>
        </w:tc>
        <w:tc>
          <w:tcPr>
            <w:tcW w:w="630" w:type="pct"/>
            <w:tcBorders>
              <w:top w:val="single" w:sz="8" w:space="0" w:color="auto"/>
              <w:left w:val="nil"/>
              <w:bottom w:val="single" w:sz="8" w:space="0" w:color="auto"/>
              <w:right w:val="nil"/>
            </w:tcBorders>
            <w:shd w:val="clear" w:color="000000" w:fill="D9D9D9"/>
            <w:noWrap/>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97,57%</w:t>
            </w:r>
          </w:p>
        </w:tc>
        <w:tc>
          <w:tcPr>
            <w:tcW w:w="471"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55,00%</w:t>
            </w:r>
          </w:p>
        </w:tc>
        <w:tc>
          <w:tcPr>
            <w:tcW w:w="471" w:type="pct"/>
            <w:tcBorders>
              <w:top w:val="single" w:sz="8" w:space="0" w:color="auto"/>
              <w:left w:val="nil"/>
              <w:bottom w:val="single" w:sz="8" w:space="0" w:color="auto"/>
              <w:right w:val="single" w:sz="4" w:space="0" w:color="auto"/>
            </w:tcBorders>
            <w:shd w:val="clear" w:color="000000" w:fill="D9D9D9"/>
            <w:noWrap/>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85,00%</w:t>
            </w:r>
          </w:p>
        </w:tc>
        <w:tc>
          <w:tcPr>
            <w:tcW w:w="471" w:type="pct"/>
            <w:tcBorders>
              <w:top w:val="single" w:sz="8" w:space="0" w:color="auto"/>
              <w:left w:val="nil"/>
              <w:bottom w:val="single" w:sz="8" w:space="0" w:color="auto"/>
              <w:right w:val="single" w:sz="8" w:space="0" w:color="auto"/>
            </w:tcBorders>
            <w:shd w:val="clear" w:color="000000" w:fill="D9D9D9"/>
            <w:noWrap/>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175,00%</w:t>
            </w:r>
          </w:p>
        </w:tc>
      </w:tr>
      <w:tr w:rsidR="002B719F" w:rsidRPr="00815C55" w:rsidTr="002B719F">
        <w:trPr>
          <w:trHeight w:val="300"/>
        </w:trPr>
        <w:tc>
          <w:tcPr>
            <w:tcW w:w="345" w:type="pct"/>
            <w:vMerge w:val="restart"/>
            <w:tcBorders>
              <w:top w:val="nil"/>
              <w:left w:val="single" w:sz="8" w:space="0" w:color="auto"/>
              <w:bottom w:val="single" w:sz="8" w:space="0" w:color="000000"/>
              <w:right w:val="single" w:sz="8" w:space="0" w:color="auto"/>
            </w:tcBorders>
            <w:shd w:val="clear" w:color="000000" w:fill="D9D9D9"/>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Renda Variável</w:t>
            </w:r>
          </w:p>
        </w:tc>
        <w:tc>
          <w:tcPr>
            <w:tcW w:w="1983" w:type="pct"/>
            <w:tcBorders>
              <w:top w:val="nil"/>
              <w:left w:val="nil"/>
              <w:bottom w:val="single" w:sz="4" w:space="0" w:color="auto"/>
              <w:right w:val="single" w:sz="4" w:space="0" w:color="auto"/>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r w:rsidRPr="00815C55">
              <w:rPr>
                <w:rFonts w:eastAsia="Times New Roman" w:cs="Calibri"/>
                <w:color w:val="000000"/>
                <w:sz w:val="14"/>
                <w:szCs w:val="14"/>
                <w:lang w:eastAsia="pt-BR"/>
              </w:rPr>
              <w:t>FI Ações Referenciados - Art. 8º, I</w:t>
            </w:r>
          </w:p>
        </w:tc>
        <w:tc>
          <w:tcPr>
            <w:tcW w:w="630" w:type="pct"/>
            <w:tcBorders>
              <w:top w:val="nil"/>
              <w:left w:val="nil"/>
              <w:bottom w:val="single" w:sz="4" w:space="0" w:color="auto"/>
              <w:right w:val="single" w:sz="4" w:space="0" w:color="auto"/>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30,00%</w:t>
            </w:r>
          </w:p>
        </w:tc>
        <w:tc>
          <w:tcPr>
            <w:tcW w:w="630" w:type="pct"/>
            <w:tcBorders>
              <w:top w:val="nil"/>
              <w:left w:val="single" w:sz="4" w:space="0" w:color="auto"/>
              <w:bottom w:val="single" w:sz="4" w:space="0" w:color="auto"/>
              <w:right w:val="nil"/>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1,51%</w:t>
            </w:r>
          </w:p>
        </w:tc>
        <w:tc>
          <w:tcPr>
            <w:tcW w:w="471" w:type="pct"/>
            <w:tcBorders>
              <w:top w:val="nil"/>
              <w:left w:val="single" w:sz="8" w:space="0" w:color="auto"/>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single" w:sz="4" w:space="0" w:color="auto"/>
              <w:right w:val="single" w:sz="8"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r>
      <w:tr w:rsidR="002B719F" w:rsidRPr="00815C55" w:rsidTr="002B719F">
        <w:trPr>
          <w:trHeight w:val="315"/>
        </w:trPr>
        <w:tc>
          <w:tcPr>
            <w:tcW w:w="345" w:type="pct"/>
            <w:vMerge/>
            <w:tcBorders>
              <w:top w:val="nil"/>
              <w:left w:val="single" w:sz="8" w:space="0" w:color="auto"/>
              <w:bottom w:val="single" w:sz="8" w:space="0" w:color="000000"/>
              <w:right w:val="single" w:sz="8" w:space="0" w:color="auto"/>
            </w:tcBorders>
            <w:vAlign w:val="center"/>
            <w:hideMark/>
          </w:tcPr>
          <w:p w:rsidR="002B719F" w:rsidRPr="00815C55" w:rsidRDefault="002B719F" w:rsidP="002B719F">
            <w:pPr>
              <w:spacing w:after="0" w:line="240" w:lineRule="auto"/>
              <w:rPr>
                <w:rFonts w:eastAsia="Times New Roman" w:cs="Calibri"/>
                <w:b/>
                <w:bCs/>
                <w:color w:val="000000"/>
                <w:sz w:val="14"/>
                <w:szCs w:val="14"/>
                <w:lang w:eastAsia="pt-BR"/>
              </w:rPr>
            </w:pPr>
          </w:p>
        </w:tc>
        <w:tc>
          <w:tcPr>
            <w:tcW w:w="1983" w:type="pct"/>
            <w:tcBorders>
              <w:top w:val="nil"/>
              <w:left w:val="nil"/>
              <w:bottom w:val="single" w:sz="4" w:space="0" w:color="auto"/>
              <w:right w:val="single" w:sz="4" w:space="0" w:color="auto"/>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r w:rsidRPr="00815C55">
              <w:rPr>
                <w:rFonts w:eastAsia="Times New Roman" w:cs="Calibri"/>
                <w:color w:val="000000"/>
                <w:sz w:val="14"/>
                <w:szCs w:val="14"/>
                <w:lang w:eastAsia="pt-BR"/>
              </w:rPr>
              <w:t>FI de Índices Referenciados em Ações - Art. 8º, II</w:t>
            </w:r>
          </w:p>
        </w:tc>
        <w:tc>
          <w:tcPr>
            <w:tcW w:w="630" w:type="pct"/>
            <w:tcBorders>
              <w:top w:val="nil"/>
              <w:left w:val="nil"/>
              <w:bottom w:val="single" w:sz="4" w:space="0" w:color="auto"/>
              <w:right w:val="single" w:sz="4" w:space="0" w:color="auto"/>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20,00%</w:t>
            </w:r>
          </w:p>
        </w:tc>
        <w:tc>
          <w:tcPr>
            <w:tcW w:w="630" w:type="pct"/>
            <w:tcBorders>
              <w:top w:val="nil"/>
              <w:left w:val="nil"/>
              <w:bottom w:val="single" w:sz="4" w:space="0" w:color="auto"/>
              <w:right w:val="nil"/>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single" w:sz="8" w:space="0" w:color="auto"/>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single" w:sz="4" w:space="0" w:color="auto"/>
              <w:right w:val="single" w:sz="8"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r>
      <w:tr w:rsidR="002B719F" w:rsidRPr="00815C55" w:rsidTr="002B719F">
        <w:trPr>
          <w:trHeight w:val="300"/>
        </w:trPr>
        <w:tc>
          <w:tcPr>
            <w:tcW w:w="345" w:type="pct"/>
            <w:vMerge/>
            <w:tcBorders>
              <w:top w:val="nil"/>
              <w:left w:val="single" w:sz="8" w:space="0" w:color="auto"/>
              <w:bottom w:val="single" w:sz="8" w:space="0" w:color="000000"/>
              <w:right w:val="single" w:sz="8" w:space="0" w:color="auto"/>
            </w:tcBorders>
            <w:vAlign w:val="center"/>
            <w:hideMark/>
          </w:tcPr>
          <w:p w:rsidR="002B719F" w:rsidRPr="00815C55" w:rsidRDefault="002B719F" w:rsidP="002B719F">
            <w:pPr>
              <w:spacing w:after="0" w:line="240" w:lineRule="auto"/>
              <w:rPr>
                <w:rFonts w:eastAsia="Times New Roman" w:cs="Calibri"/>
                <w:b/>
                <w:bCs/>
                <w:color w:val="000000"/>
                <w:sz w:val="14"/>
                <w:szCs w:val="14"/>
                <w:lang w:eastAsia="pt-BR"/>
              </w:rPr>
            </w:pPr>
          </w:p>
        </w:tc>
        <w:tc>
          <w:tcPr>
            <w:tcW w:w="1983" w:type="pct"/>
            <w:tcBorders>
              <w:top w:val="nil"/>
              <w:left w:val="nil"/>
              <w:bottom w:val="single" w:sz="4" w:space="0" w:color="auto"/>
              <w:right w:val="single" w:sz="4" w:space="0" w:color="auto"/>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r w:rsidRPr="00815C55">
              <w:rPr>
                <w:rFonts w:eastAsia="Times New Roman" w:cs="Calibri"/>
                <w:color w:val="000000"/>
                <w:sz w:val="14"/>
                <w:szCs w:val="14"/>
                <w:lang w:eastAsia="pt-BR"/>
              </w:rPr>
              <w:t>FI em Ações - Art. 8º, III</w:t>
            </w:r>
          </w:p>
        </w:tc>
        <w:tc>
          <w:tcPr>
            <w:tcW w:w="630" w:type="pct"/>
            <w:tcBorders>
              <w:top w:val="nil"/>
              <w:left w:val="nil"/>
              <w:bottom w:val="single" w:sz="4" w:space="0" w:color="auto"/>
              <w:right w:val="single" w:sz="4" w:space="0" w:color="auto"/>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15,00%</w:t>
            </w:r>
          </w:p>
        </w:tc>
        <w:tc>
          <w:tcPr>
            <w:tcW w:w="630" w:type="pct"/>
            <w:tcBorders>
              <w:top w:val="nil"/>
              <w:left w:val="single" w:sz="4" w:space="0" w:color="auto"/>
              <w:bottom w:val="single" w:sz="4" w:space="0" w:color="auto"/>
              <w:right w:val="nil"/>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0,92%</w:t>
            </w:r>
          </w:p>
        </w:tc>
        <w:tc>
          <w:tcPr>
            <w:tcW w:w="471" w:type="pct"/>
            <w:tcBorders>
              <w:top w:val="nil"/>
              <w:left w:val="single" w:sz="8" w:space="0" w:color="auto"/>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5,00%</w:t>
            </w:r>
          </w:p>
        </w:tc>
        <w:tc>
          <w:tcPr>
            <w:tcW w:w="471" w:type="pct"/>
            <w:tcBorders>
              <w:top w:val="nil"/>
              <w:left w:val="nil"/>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10,00%</w:t>
            </w:r>
          </w:p>
        </w:tc>
        <w:tc>
          <w:tcPr>
            <w:tcW w:w="471" w:type="pct"/>
            <w:tcBorders>
              <w:top w:val="nil"/>
              <w:left w:val="nil"/>
              <w:bottom w:val="single" w:sz="4" w:space="0" w:color="auto"/>
              <w:right w:val="single" w:sz="8"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15,00%</w:t>
            </w:r>
          </w:p>
        </w:tc>
      </w:tr>
      <w:tr w:rsidR="002B719F" w:rsidRPr="00815C55" w:rsidTr="002B719F">
        <w:trPr>
          <w:trHeight w:val="300"/>
        </w:trPr>
        <w:tc>
          <w:tcPr>
            <w:tcW w:w="345" w:type="pct"/>
            <w:vMerge/>
            <w:tcBorders>
              <w:top w:val="nil"/>
              <w:left w:val="single" w:sz="8" w:space="0" w:color="auto"/>
              <w:bottom w:val="single" w:sz="8" w:space="0" w:color="000000"/>
              <w:right w:val="single" w:sz="8" w:space="0" w:color="auto"/>
            </w:tcBorders>
            <w:vAlign w:val="center"/>
            <w:hideMark/>
          </w:tcPr>
          <w:p w:rsidR="002B719F" w:rsidRPr="00815C55" w:rsidRDefault="002B719F" w:rsidP="002B719F">
            <w:pPr>
              <w:spacing w:after="0" w:line="240" w:lineRule="auto"/>
              <w:rPr>
                <w:rFonts w:eastAsia="Times New Roman" w:cs="Calibri"/>
                <w:b/>
                <w:bCs/>
                <w:color w:val="000000"/>
                <w:sz w:val="14"/>
                <w:szCs w:val="14"/>
                <w:lang w:eastAsia="pt-BR"/>
              </w:rPr>
            </w:pPr>
          </w:p>
        </w:tc>
        <w:tc>
          <w:tcPr>
            <w:tcW w:w="1983" w:type="pct"/>
            <w:tcBorders>
              <w:top w:val="nil"/>
              <w:left w:val="nil"/>
              <w:bottom w:val="single" w:sz="4" w:space="0" w:color="auto"/>
              <w:right w:val="single" w:sz="4" w:space="0" w:color="auto"/>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r w:rsidRPr="00815C55">
              <w:rPr>
                <w:rFonts w:eastAsia="Times New Roman" w:cs="Calibri"/>
                <w:color w:val="000000"/>
                <w:sz w:val="14"/>
                <w:szCs w:val="14"/>
                <w:lang w:eastAsia="pt-BR"/>
              </w:rPr>
              <w:t>FI Multimercado - aberto - Art. 8º, IV</w:t>
            </w:r>
          </w:p>
        </w:tc>
        <w:tc>
          <w:tcPr>
            <w:tcW w:w="630" w:type="pct"/>
            <w:tcBorders>
              <w:top w:val="nil"/>
              <w:left w:val="nil"/>
              <w:bottom w:val="single" w:sz="4" w:space="0" w:color="auto"/>
              <w:right w:val="single" w:sz="4" w:space="0" w:color="auto"/>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5,00%</w:t>
            </w:r>
          </w:p>
        </w:tc>
        <w:tc>
          <w:tcPr>
            <w:tcW w:w="630" w:type="pct"/>
            <w:tcBorders>
              <w:top w:val="nil"/>
              <w:left w:val="nil"/>
              <w:bottom w:val="single" w:sz="4" w:space="0" w:color="auto"/>
              <w:right w:val="nil"/>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single" w:sz="8" w:space="0" w:color="auto"/>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2,00%</w:t>
            </w:r>
          </w:p>
        </w:tc>
        <w:tc>
          <w:tcPr>
            <w:tcW w:w="471" w:type="pct"/>
            <w:tcBorders>
              <w:top w:val="nil"/>
              <w:left w:val="nil"/>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5,00%</w:t>
            </w:r>
          </w:p>
        </w:tc>
        <w:tc>
          <w:tcPr>
            <w:tcW w:w="471" w:type="pct"/>
            <w:tcBorders>
              <w:top w:val="nil"/>
              <w:left w:val="nil"/>
              <w:bottom w:val="single" w:sz="4" w:space="0" w:color="auto"/>
              <w:right w:val="single" w:sz="8"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5,00%</w:t>
            </w:r>
          </w:p>
        </w:tc>
      </w:tr>
      <w:tr w:rsidR="002B719F" w:rsidRPr="00815C55" w:rsidTr="002B719F">
        <w:trPr>
          <w:trHeight w:val="300"/>
        </w:trPr>
        <w:tc>
          <w:tcPr>
            <w:tcW w:w="345" w:type="pct"/>
            <w:vMerge/>
            <w:tcBorders>
              <w:top w:val="nil"/>
              <w:left w:val="single" w:sz="8" w:space="0" w:color="auto"/>
              <w:bottom w:val="single" w:sz="8" w:space="0" w:color="000000"/>
              <w:right w:val="single" w:sz="8" w:space="0" w:color="auto"/>
            </w:tcBorders>
            <w:vAlign w:val="center"/>
            <w:hideMark/>
          </w:tcPr>
          <w:p w:rsidR="002B719F" w:rsidRPr="00815C55" w:rsidRDefault="002B719F" w:rsidP="002B719F">
            <w:pPr>
              <w:spacing w:after="0" w:line="240" w:lineRule="auto"/>
              <w:rPr>
                <w:rFonts w:eastAsia="Times New Roman" w:cs="Calibri"/>
                <w:b/>
                <w:bCs/>
                <w:color w:val="000000"/>
                <w:sz w:val="14"/>
                <w:szCs w:val="14"/>
                <w:lang w:eastAsia="pt-BR"/>
              </w:rPr>
            </w:pPr>
          </w:p>
        </w:tc>
        <w:tc>
          <w:tcPr>
            <w:tcW w:w="1983" w:type="pct"/>
            <w:tcBorders>
              <w:top w:val="nil"/>
              <w:left w:val="nil"/>
              <w:bottom w:val="single" w:sz="4" w:space="0" w:color="auto"/>
              <w:right w:val="single" w:sz="4" w:space="0" w:color="auto"/>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r w:rsidRPr="00815C55">
              <w:rPr>
                <w:rFonts w:eastAsia="Times New Roman" w:cs="Calibri"/>
                <w:color w:val="000000"/>
                <w:sz w:val="14"/>
                <w:szCs w:val="14"/>
                <w:lang w:eastAsia="pt-BR"/>
              </w:rPr>
              <w:t>FI em Participações - fechado - Art. 8º, V</w:t>
            </w:r>
          </w:p>
        </w:tc>
        <w:tc>
          <w:tcPr>
            <w:tcW w:w="630" w:type="pct"/>
            <w:tcBorders>
              <w:top w:val="nil"/>
              <w:left w:val="nil"/>
              <w:bottom w:val="single" w:sz="4" w:space="0" w:color="auto"/>
              <w:right w:val="single" w:sz="4" w:space="0" w:color="auto"/>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5,00%</w:t>
            </w:r>
          </w:p>
        </w:tc>
        <w:tc>
          <w:tcPr>
            <w:tcW w:w="630" w:type="pct"/>
            <w:tcBorders>
              <w:top w:val="nil"/>
              <w:left w:val="nil"/>
              <w:bottom w:val="single" w:sz="4" w:space="0" w:color="auto"/>
              <w:right w:val="nil"/>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single" w:sz="8" w:space="0" w:color="auto"/>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single" w:sz="4" w:space="0" w:color="auto"/>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single" w:sz="4" w:space="0" w:color="auto"/>
              <w:right w:val="single" w:sz="8"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r>
      <w:tr w:rsidR="002B719F" w:rsidRPr="00815C55" w:rsidTr="002B719F">
        <w:trPr>
          <w:trHeight w:val="315"/>
        </w:trPr>
        <w:tc>
          <w:tcPr>
            <w:tcW w:w="345" w:type="pct"/>
            <w:vMerge/>
            <w:tcBorders>
              <w:top w:val="nil"/>
              <w:left w:val="single" w:sz="8" w:space="0" w:color="auto"/>
              <w:bottom w:val="single" w:sz="8" w:space="0" w:color="000000"/>
              <w:right w:val="single" w:sz="8" w:space="0" w:color="auto"/>
            </w:tcBorders>
            <w:vAlign w:val="center"/>
            <w:hideMark/>
          </w:tcPr>
          <w:p w:rsidR="002B719F" w:rsidRPr="00815C55" w:rsidRDefault="002B719F" w:rsidP="002B719F">
            <w:pPr>
              <w:spacing w:after="0" w:line="240" w:lineRule="auto"/>
              <w:rPr>
                <w:rFonts w:eastAsia="Times New Roman" w:cs="Calibri"/>
                <w:b/>
                <w:bCs/>
                <w:color w:val="000000"/>
                <w:sz w:val="14"/>
                <w:szCs w:val="14"/>
                <w:lang w:eastAsia="pt-BR"/>
              </w:rPr>
            </w:pPr>
          </w:p>
        </w:tc>
        <w:tc>
          <w:tcPr>
            <w:tcW w:w="1983" w:type="pct"/>
            <w:tcBorders>
              <w:top w:val="nil"/>
              <w:left w:val="nil"/>
              <w:bottom w:val="nil"/>
              <w:right w:val="single" w:sz="4" w:space="0" w:color="auto"/>
            </w:tcBorders>
            <w:shd w:val="clear" w:color="auto" w:fill="auto"/>
            <w:noWrap/>
            <w:vAlign w:val="bottom"/>
            <w:hideMark/>
          </w:tcPr>
          <w:p w:rsidR="002B719F" w:rsidRPr="00815C55" w:rsidRDefault="002B719F" w:rsidP="002B719F">
            <w:pPr>
              <w:spacing w:after="0" w:line="240" w:lineRule="auto"/>
              <w:rPr>
                <w:rFonts w:eastAsia="Times New Roman" w:cs="Calibri"/>
                <w:color w:val="000000"/>
                <w:sz w:val="14"/>
                <w:szCs w:val="14"/>
                <w:lang w:eastAsia="pt-BR"/>
              </w:rPr>
            </w:pPr>
            <w:r w:rsidRPr="00815C55">
              <w:rPr>
                <w:rFonts w:eastAsia="Times New Roman" w:cs="Calibri"/>
                <w:color w:val="000000"/>
                <w:sz w:val="14"/>
                <w:szCs w:val="14"/>
                <w:lang w:eastAsia="pt-BR"/>
              </w:rPr>
              <w:t>FI Imobiliário - cotas negociadas em bolsa - Art. 8º, VI</w:t>
            </w:r>
          </w:p>
        </w:tc>
        <w:tc>
          <w:tcPr>
            <w:tcW w:w="630" w:type="pct"/>
            <w:tcBorders>
              <w:top w:val="nil"/>
              <w:left w:val="nil"/>
              <w:bottom w:val="nil"/>
              <w:right w:val="single" w:sz="4" w:space="0" w:color="auto"/>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5,00%</w:t>
            </w:r>
          </w:p>
        </w:tc>
        <w:tc>
          <w:tcPr>
            <w:tcW w:w="630" w:type="pct"/>
            <w:tcBorders>
              <w:top w:val="nil"/>
              <w:left w:val="nil"/>
              <w:bottom w:val="nil"/>
              <w:right w:val="nil"/>
            </w:tcBorders>
            <w:shd w:val="clear" w:color="auto" w:fill="auto"/>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single" w:sz="8" w:space="0" w:color="auto"/>
              <w:bottom w:val="nil"/>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nil"/>
              <w:right w:val="single" w:sz="4"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c>
          <w:tcPr>
            <w:tcW w:w="471" w:type="pct"/>
            <w:tcBorders>
              <w:top w:val="nil"/>
              <w:left w:val="nil"/>
              <w:bottom w:val="nil"/>
              <w:right w:val="single" w:sz="8" w:space="0" w:color="auto"/>
            </w:tcBorders>
            <w:shd w:val="clear" w:color="000000" w:fill="F2F2F2"/>
            <w:noWrap/>
            <w:vAlign w:val="center"/>
            <w:hideMark/>
          </w:tcPr>
          <w:p w:rsidR="002B719F" w:rsidRPr="00815C55" w:rsidRDefault="002B719F" w:rsidP="002B719F">
            <w:pPr>
              <w:spacing w:after="0" w:line="240" w:lineRule="auto"/>
              <w:jc w:val="center"/>
              <w:rPr>
                <w:rFonts w:eastAsia="Times New Roman" w:cs="Calibri"/>
                <w:color w:val="000000"/>
                <w:sz w:val="14"/>
                <w:szCs w:val="14"/>
                <w:lang w:eastAsia="pt-BR"/>
              </w:rPr>
            </w:pPr>
            <w:r w:rsidRPr="00815C55">
              <w:rPr>
                <w:rFonts w:eastAsia="Times New Roman" w:cs="Calibri"/>
                <w:color w:val="000000"/>
                <w:sz w:val="14"/>
                <w:szCs w:val="14"/>
                <w:lang w:eastAsia="pt-BR"/>
              </w:rPr>
              <w:t>0,00%</w:t>
            </w:r>
          </w:p>
        </w:tc>
      </w:tr>
      <w:tr w:rsidR="002B719F" w:rsidRPr="00815C55" w:rsidTr="002B719F">
        <w:trPr>
          <w:trHeight w:val="315"/>
        </w:trPr>
        <w:tc>
          <w:tcPr>
            <w:tcW w:w="345" w:type="pct"/>
            <w:vMerge/>
            <w:tcBorders>
              <w:top w:val="nil"/>
              <w:left w:val="single" w:sz="8" w:space="0" w:color="auto"/>
              <w:bottom w:val="single" w:sz="8" w:space="0" w:color="000000"/>
              <w:right w:val="single" w:sz="8" w:space="0" w:color="auto"/>
            </w:tcBorders>
            <w:vAlign w:val="center"/>
            <w:hideMark/>
          </w:tcPr>
          <w:p w:rsidR="002B719F" w:rsidRPr="00815C55" w:rsidRDefault="002B719F" w:rsidP="002B719F">
            <w:pPr>
              <w:spacing w:after="0" w:line="240" w:lineRule="auto"/>
              <w:rPr>
                <w:rFonts w:eastAsia="Times New Roman" w:cs="Calibri"/>
                <w:b/>
                <w:bCs/>
                <w:color w:val="000000"/>
                <w:sz w:val="14"/>
                <w:szCs w:val="14"/>
                <w:lang w:eastAsia="pt-BR"/>
              </w:rPr>
            </w:pPr>
          </w:p>
        </w:tc>
        <w:tc>
          <w:tcPr>
            <w:tcW w:w="1983" w:type="pct"/>
            <w:tcBorders>
              <w:top w:val="single" w:sz="8" w:space="0" w:color="auto"/>
              <w:left w:val="nil"/>
              <w:bottom w:val="single" w:sz="8" w:space="0" w:color="auto"/>
              <w:right w:val="single" w:sz="4" w:space="0" w:color="auto"/>
            </w:tcBorders>
            <w:shd w:val="clear" w:color="000000" w:fill="D9D9D9"/>
            <w:noWrap/>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Subtotal</w:t>
            </w:r>
          </w:p>
        </w:tc>
        <w:tc>
          <w:tcPr>
            <w:tcW w:w="630" w:type="pct"/>
            <w:tcBorders>
              <w:top w:val="single" w:sz="8" w:space="0" w:color="auto"/>
              <w:left w:val="nil"/>
              <w:bottom w:val="single" w:sz="8" w:space="0" w:color="auto"/>
              <w:right w:val="single" w:sz="4" w:space="0" w:color="auto"/>
            </w:tcBorders>
            <w:shd w:val="clear" w:color="000000" w:fill="D9D9D9"/>
            <w:noWrap/>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80,00%</w:t>
            </w:r>
          </w:p>
        </w:tc>
        <w:tc>
          <w:tcPr>
            <w:tcW w:w="630" w:type="pct"/>
            <w:tcBorders>
              <w:top w:val="single" w:sz="8" w:space="0" w:color="auto"/>
              <w:left w:val="nil"/>
              <w:bottom w:val="single" w:sz="8" w:space="0" w:color="auto"/>
              <w:right w:val="nil"/>
            </w:tcBorders>
            <w:shd w:val="clear" w:color="000000" w:fill="D9D9D9"/>
            <w:noWrap/>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2,43%</w:t>
            </w:r>
          </w:p>
        </w:tc>
        <w:tc>
          <w:tcPr>
            <w:tcW w:w="471"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7,00%</w:t>
            </w:r>
          </w:p>
        </w:tc>
        <w:tc>
          <w:tcPr>
            <w:tcW w:w="471" w:type="pct"/>
            <w:tcBorders>
              <w:top w:val="single" w:sz="8" w:space="0" w:color="auto"/>
              <w:left w:val="nil"/>
              <w:bottom w:val="single" w:sz="8" w:space="0" w:color="auto"/>
              <w:right w:val="single" w:sz="4" w:space="0" w:color="auto"/>
            </w:tcBorders>
            <w:shd w:val="clear" w:color="000000" w:fill="D9D9D9"/>
            <w:noWrap/>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15,00%</w:t>
            </w:r>
          </w:p>
        </w:tc>
        <w:tc>
          <w:tcPr>
            <w:tcW w:w="471" w:type="pct"/>
            <w:tcBorders>
              <w:top w:val="single" w:sz="8" w:space="0" w:color="auto"/>
              <w:left w:val="nil"/>
              <w:bottom w:val="single" w:sz="8" w:space="0" w:color="auto"/>
              <w:right w:val="single" w:sz="8" w:space="0" w:color="auto"/>
            </w:tcBorders>
            <w:shd w:val="clear" w:color="000000" w:fill="D9D9D9"/>
            <w:noWrap/>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20,00%</w:t>
            </w:r>
          </w:p>
        </w:tc>
      </w:tr>
      <w:tr w:rsidR="002B719F" w:rsidRPr="00815C55" w:rsidTr="002B719F">
        <w:trPr>
          <w:trHeight w:val="315"/>
        </w:trPr>
        <w:tc>
          <w:tcPr>
            <w:tcW w:w="345" w:type="pct"/>
            <w:tcBorders>
              <w:top w:val="nil"/>
              <w:left w:val="nil"/>
              <w:bottom w:val="nil"/>
              <w:right w:val="nil"/>
            </w:tcBorders>
            <w:shd w:val="clear" w:color="auto" w:fill="auto"/>
            <w:noWrap/>
            <w:vAlign w:val="bottom"/>
            <w:hideMark/>
          </w:tcPr>
          <w:p w:rsidR="002B719F" w:rsidRPr="00815C55" w:rsidRDefault="002B719F" w:rsidP="002B719F">
            <w:pPr>
              <w:spacing w:after="0" w:line="240" w:lineRule="auto"/>
              <w:rPr>
                <w:rFonts w:eastAsia="Times New Roman" w:cs="Calibri"/>
                <w:b/>
                <w:bCs/>
                <w:color w:val="000000"/>
                <w:sz w:val="14"/>
                <w:szCs w:val="14"/>
                <w:lang w:eastAsia="pt-BR"/>
              </w:rPr>
            </w:pPr>
          </w:p>
        </w:tc>
        <w:tc>
          <w:tcPr>
            <w:tcW w:w="1983" w:type="pct"/>
            <w:tcBorders>
              <w:top w:val="nil"/>
              <w:left w:val="single" w:sz="8" w:space="0" w:color="auto"/>
              <w:bottom w:val="single" w:sz="8" w:space="0" w:color="auto"/>
              <w:right w:val="single" w:sz="4" w:space="0" w:color="auto"/>
            </w:tcBorders>
            <w:shd w:val="clear" w:color="000000" w:fill="A6A6A6"/>
            <w:noWrap/>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Total Geral</w:t>
            </w:r>
          </w:p>
        </w:tc>
        <w:tc>
          <w:tcPr>
            <w:tcW w:w="630" w:type="pct"/>
            <w:tcBorders>
              <w:top w:val="nil"/>
              <w:left w:val="nil"/>
              <w:bottom w:val="single" w:sz="8" w:space="0" w:color="auto"/>
              <w:right w:val="single" w:sz="4" w:space="0" w:color="auto"/>
            </w:tcBorders>
            <w:shd w:val="clear" w:color="000000" w:fill="A6A6A6"/>
            <w:noWrap/>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580,00%</w:t>
            </w:r>
          </w:p>
        </w:tc>
        <w:tc>
          <w:tcPr>
            <w:tcW w:w="630" w:type="pct"/>
            <w:tcBorders>
              <w:top w:val="nil"/>
              <w:left w:val="nil"/>
              <w:bottom w:val="single" w:sz="8" w:space="0" w:color="auto"/>
              <w:right w:val="nil"/>
            </w:tcBorders>
            <w:shd w:val="clear" w:color="000000" w:fill="A6A6A6"/>
            <w:noWrap/>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100,00%</w:t>
            </w:r>
          </w:p>
        </w:tc>
        <w:tc>
          <w:tcPr>
            <w:tcW w:w="471" w:type="pct"/>
            <w:tcBorders>
              <w:top w:val="nil"/>
              <w:left w:val="single" w:sz="8" w:space="0" w:color="auto"/>
              <w:bottom w:val="single" w:sz="8" w:space="0" w:color="auto"/>
              <w:right w:val="single" w:sz="4" w:space="0" w:color="auto"/>
            </w:tcBorders>
            <w:shd w:val="clear" w:color="000000" w:fill="A6A6A6"/>
            <w:noWrap/>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62,00%</w:t>
            </w:r>
          </w:p>
        </w:tc>
        <w:tc>
          <w:tcPr>
            <w:tcW w:w="471" w:type="pct"/>
            <w:tcBorders>
              <w:top w:val="nil"/>
              <w:left w:val="nil"/>
              <w:bottom w:val="single" w:sz="8" w:space="0" w:color="auto"/>
              <w:right w:val="single" w:sz="4" w:space="0" w:color="auto"/>
            </w:tcBorders>
            <w:shd w:val="clear" w:color="000000" w:fill="A6A6A6"/>
            <w:noWrap/>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100,00%</w:t>
            </w:r>
          </w:p>
        </w:tc>
        <w:tc>
          <w:tcPr>
            <w:tcW w:w="471" w:type="pct"/>
            <w:tcBorders>
              <w:top w:val="nil"/>
              <w:left w:val="nil"/>
              <w:bottom w:val="single" w:sz="8" w:space="0" w:color="auto"/>
              <w:right w:val="single" w:sz="8" w:space="0" w:color="auto"/>
            </w:tcBorders>
            <w:shd w:val="clear" w:color="000000" w:fill="A6A6A6"/>
            <w:noWrap/>
            <w:vAlign w:val="center"/>
            <w:hideMark/>
          </w:tcPr>
          <w:p w:rsidR="002B719F" w:rsidRPr="00815C55" w:rsidRDefault="002B719F" w:rsidP="002B719F">
            <w:pPr>
              <w:spacing w:after="0" w:line="240" w:lineRule="auto"/>
              <w:jc w:val="center"/>
              <w:rPr>
                <w:rFonts w:eastAsia="Times New Roman" w:cs="Calibri"/>
                <w:b/>
                <w:bCs/>
                <w:color w:val="000000"/>
                <w:sz w:val="14"/>
                <w:szCs w:val="14"/>
                <w:lang w:eastAsia="pt-BR"/>
              </w:rPr>
            </w:pPr>
            <w:r w:rsidRPr="00815C55">
              <w:rPr>
                <w:rFonts w:eastAsia="Times New Roman" w:cs="Calibri"/>
                <w:b/>
                <w:bCs/>
                <w:color w:val="000000"/>
                <w:sz w:val="14"/>
                <w:szCs w:val="14"/>
                <w:lang w:eastAsia="pt-BR"/>
              </w:rPr>
              <w:t>195,00%</w:t>
            </w:r>
          </w:p>
        </w:tc>
      </w:tr>
    </w:tbl>
    <w:p w:rsidR="00CB1E8E" w:rsidRPr="001A464C" w:rsidRDefault="00412C4A"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A</w:t>
      </w:r>
      <w:r w:rsidR="00FE784F" w:rsidRPr="001A464C">
        <w:rPr>
          <w:rFonts w:asciiTheme="majorHAnsi" w:hAnsiTheme="majorHAnsi"/>
          <w:bCs/>
          <w:color w:val="7F7F7F" w:themeColor="text1" w:themeTint="80"/>
          <w:sz w:val="20"/>
          <w:szCs w:val="20"/>
        </w:rPr>
        <w:t xml:space="preserve"> estratégia de alocação para os próximos cinco anos, </w:t>
      </w:r>
      <w:r w:rsidR="00D567EB" w:rsidRPr="001A464C">
        <w:rPr>
          <w:rFonts w:asciiTheme="majorHAnsi" w:hAnsiTheme="majorHAnsi"/>
          <w:bCs/>
          <w:color w:val="7F7F7F" w:themeColor="text1" w:themeTint="80"/>
          <w:sz w:val="20"/>
          <w:szCs w:val="20"/>
        </w:rPr>
        <w:t>leva</w:t>
      </w:r>
      <w:r w:rsidR="00FE784F" w:rsidRPr="001A464C">
        <w:rPr>
          <w:rFonts w:asciiTheme="majorHAnsi" w:hAnsiTheme="majorHAnsi"/>
          <w:bCs/>
          <w:color w:val="7F7F7F" w:themeColor="text1" w:themeTint="80"/>
          <w:sz w:val="20"/>
          <w:szCs w:val="20"/>
        </w:rPr>
        <w:t xml:space="preserve"> em </w:t>
      </w:r>
      <w:r w:rsidR="00D567EB" w:rsidRPr="001A464C">
        <w:rPr>
          <w:rFonts w:asciiTheme="majorHAnsi" w:hAnsiTheme="majorHAnsi"/>
          <w:bCs/>
          <w:color w:val="7F7F7F" w:themeColor="text1" w:themeTint="80"/>
          <w:sz w:val="20"/>
          <w:szCs w:val="20"/>
        </w:rPr>
        <w:t xml:space="preserve">consideração </w:t>
      </w:r>
      <w:r w:rsidR="00FE784F" w:rsidRPr="001A464C">
        <w:rPr>
          <w:rFonts w:asciiTheme="majorHAnsi" w:hAnsiTheme="majorHAnsi"/>
          <w:bCs/>
          <w:color w:val="7F7F7F" w:themeColor="text1" w:themeTint="80"/>
          <w:sz w:val="20"/>
          <w:szCs w:val="20"/>
        </w:rPr>
        <w:t xml:space="preserve">não somente o cenário macroeconômico como também as especificidades da estratégia definida pelo resultado da </w:t>
      </w:r>
      <w:r w:rsidR="00D567EB" w:rsidRPr="001A464C">
        <w:rPr>
          <w:rFonts w:asciiTheme="majorHAnsi" w:hAnsiTheme="majorHAnsi"/>
          <w:bCs/>
          <w:color w:val="7F7F7F" w:themeColor="text1" w:themeTint="80"/>
          <w:sz w:val="20"/>
          <w:szCs w:val="20"/>
        </w:rPr>
        <w:t xml:space="preserve">análise do fluxo de caixa atuarial </w:t>
      </w:r>
      <w:r w:rsidR="00FE784F" w:rsidRPr="001A464C">
        <w:rPr>
          <w:rFonts w:asciiTheme="majorHAnsi" w:hAnsiTheme="majorHAnsi"/>
          <w:bCs/>
          <w:color w:val="7F7F7F" w:themeColor="text1" w:themeTint="80"/>
          <w:sz w:val="20"/>
          <w:szCs w:val="20"/>
        </w:rPr>
        <w:t xml:space="preserve">e </w:t>
      </w:r>
      <w:r w:rsidR="00D567EB" w:rsidRPr="001A464C">
        <w:rPr>
          <w:rFonts w:asciiTheme="majorHAnsi" w:hAnsiTheme="majorHAnsi"/>
          <w:bCs/>
          <w:color w:val="7F7F7F" w:themeColor="text1" w:themeTint="80"/>
          <w:sz w:val="20"/>
          <w:szCs w:val="20"/>
        </w:rPr>
        <w:t>a</w:t>
      </w:r>
      <w:r w:rsidR="00FE784F" w:rsidRPr="001A464C">
        <w:rPr>
          <w:rFonts w:asciiTheme="majorHAnsi" w:hAnsiTheme="majorHAnsi"/>
          <w:bCs/>
          <w:color w:val="7F7F7F" w:themeColor="text1" w:themeTint="80"/>
          <w:sz w:val="20"/>
          <w:szCs w:val="20"/>
        </w:rPr>
        <w:t>s projeções futuras de déficit e/ou superávit.</w:t>
      </w:r>
    </w:p>
    <w:p w:rsidR="00EC6BB5" w:rsidRDefault="00EC6BB5" w:rsidP="00B82665">
      <w:pPr>
        <w:spacing w:beforeLines="120" w:before="288" w:after="0" w:line="240" w:lineRule="auto"/>
        <w:jc w:val="center"/>
        <w:rPr>
          <w:rFonts w:asciiTheme="majorHAnsi" w:eastAsiaTheme="majorEastAsia" w:hAnsiTheme="majorHAnsi" w:cstheme="majorBidi"/>
          <w:b/>
          <w:sz w:val="20"/>
          <w:szCs w:val="20"/>
        </w:rPr>
      </w:pPr>
      <w:r w:rsidRPr="001A464C">
        <w:rPr>
          <w:rFonts w:asciiTheme="majorHAnsi" w:eastAsiaTheme="majorEastAsia" w:hAnsiTheme="majorHAnsi" w:cstheme="majorBidi"/>
          <w:b/>
          <w:sz w:val="20"/>
          <w:szCs w:val="20"/>
        </w:rPr>
        <w:lastRenderedPageBreak/>
        <w:t>Alocação Estratégica para os próximos cinco anos</w:t>
      </w:r>
    </w:p>
    <w:p w:rsidR="00B82665" w:rsidRDefault="00B82665" w:rsidP="00B82665">
      <w:pPr>
        <w:spacing w:beforeLines="120" w:before="288" w:after="0" w:line="240" w:lineRule="auto"/>
        <w:jc w:val="center"/>
        <w:rPr>
          <w:rFonts w:asciiTheme="majorHAnsi" w:eastAsiaTheme="majorEastAsia" w:hAnsiTheme="majorHAnsi" w:cstheme="majorBidi"/>
          <w:b/>
          <w:sz w:val="20"/>
          <w:szCs w:val="20"/>
        </w:rPr>
      </w:pPr>
    </w:p>
    <w:tbl>
      <w:tblPr>
        <w:tblW w:w="5000" w:type="pct"/>
        <w:tblCellMar>
          <w:left w:w="70" w:type="dxa"/>
          <w:right w:w="70" w:type="dxa"/>
        </w:tblCellMar>
        <w:tblLook w:val="04A0" w:firstRow="1" w:lastRow="0" w:firstColumn="1" w:lastColumn="0" w:noHBand="0" w:noVBand="1"/>
      </w:tblPr>
      <w:tblGrid>
        <w:gridCol w:w="800"/>
        <w:gridCol w:w="4606"/>
        <w:gridCol w:w="1620"/>
        <w:gridCol w:w="1618"/>
      </w:tblGrid>
      <w:tr w:rsidR="002B719F" w:rsidRPr="002B719F" w:rsidTr="002B719F">
        <w:trPr>
          <w:trHeight w:val="555"/>
        </w:trPr>
        <w:tc>
          <w:tcPr>
            <w:tcW w:w="463" w:type="pct"/>
            <w:tcBorders>
              <w:top w:val="nil"/>
              <w:left w:val="nil"/>
              <w:bottom w:val="nil"/>
              <w:right w:val="nil"/>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color w:val="000000"/>
                <w:sz w:val="14"/>
                <w:szCs w:val="14"/>
                <w:lang w:eastAsia="pt-BR"/>
              </w:rPr>
            </w:pPr>
          </w:p>
        </w:tc>
        <w:tc>
          <w:tcPr>
            <w:tcW w:w="2664" w:type="pct"/>
            <w:tcBorders>
              <w:top w:val="nil"/>
              <w:left w:val="nil"/>
              <w:bottom w:val="nil"/>
              <w:right w:val="nil"/>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color w:val="000000"/>
                <w:sz w:val="14"/>
                <w:szCs w:val="14"/>
                <w:lang w:eastAsia="pt-BR"/>
              </w:rPr>
            </w:pPr>
          </w:p>
        </w:tc>
        <w:tc>
          <w:tcPr>
            <w:tcW w:w="1874" w:type="pct"/>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rsidR="002B719F" w:rsidRPr="002B719F" w:rsidRDefault="002B719F" w:rsidP="002B719F">
            <w:pPr>
              <w:spacing w:after="0" w:line="240" w:lineRule="auto"/>
              <w:jc w:val="center"/>
              <w:rPr>
                <w:rFonts w:asciiTheme="majorHAnsi" w:eastAsia="Times New Roman" w:hAnsiTheme="majorHAnsi" w:cs="Calibri"/>
                <w:b/>
                <w:bCs/>
                <w:color w:val="000000"/>
                <w:sz w:val="14"/>
                <w:szCs w:val="14"/>
                <w:lang w:eastAsia="pt-BR"/>
              </w:rPr>
            </w:pPr>
            <w:r w:rsidRPr="002B719F">
              <w:rPr>
                <w:rFonts w:asciiTheme="majorHAnsi" w:eastAsia="Times New Roman" w:hAnsiTheme="majorHAnsi" w:cs="Calibri"/>
                <w:b/>
                <w:bCs/>
                <w:color w:val="000000"/>
                <w:sz w:val="14"/>
                <w:szCs w:val="14"/>
                <w:lang w:eastAsia="pt-BR"/>
              </w:rPr>
              <w:t>Estratégia de Alocação - para os próximos cinco exercícios</w:t>
            </w:r>
          </w:p>
        </w:tc>
      </w:tr>
      <w:tr w:rsidR="002B719F" w:rsidRPr="002B719F" w:rsidTr="002B719F">
        <w:trPr>
          <w:trHeight w:val="465"/>
        </w:trPr>
        <w:tc>
          <w:tcPr>
            <w:tcW w:w="463"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2B719F" w:rsidRPr="002B719F" w:rsidRDefault="002B719F" w:rsidP="002B719F">
            <w:pPr>
              <w:spacing w:after="0" w:line="240" w:lineRule="auto"/>
              <w:jc w:val="center"/>
              <w:rPr>
                <w:rFonts w:asciiTheme="majorHAnsi" w:eastAsia="Times New Roman" w:hAnsiTheme="majorHAnsi" w:cs="Calibri"/>
                <w:b/>
                <w:bCs/>
                <w:color w:val="000000"/>
                <w:sz w:val="14"/>
                <w:szCs w:val="14"/>
                <w:lang w:eastAsia="pt-BR"/>
              </w:rPr>
            </w:pPr>
            <w:r w:rsidRPr="002B719F">
              <w:rPr>
                <w:rFonts w:asciiTheme="majorHAnsi" w:eastAsia="Times New Roman" w:hAnsiTheme="majorHAnsi" w:cs="Calibri"/>
                <w:b/>
                <w:bCs/>
                <w:color w:val="000000"/>
                <w:sz w:val="14"/>
                <w:szCs w:val="14"/>
                <w:lang w:eastAsia="pt-BR"/>
              </w:rPr>
              <w:t>Segmento</w:t>
            </w:r>
          </w:p>
        </w:tc>
        <w:tc>
          <w:tcPr>
            <w:tcW w:w="2664" w:type="pct"/>
            <w:tcBorders>
              <w:top w:val="single" w:sz="8" w:space="0" w:color="auto"/>
              <w:left w:val="nil"/>
              <w:bottom w:val="single" w:sz="8" w:space="0" w:color="auto"/>
              <w:right w:val="single" w:sz="4" w:space="0" w:color="auto"/>
            </w:tcBorders>
            <w:shd w:val="clear" w:color="000000" w:fill="D9D9D9"/>
            <w:vAlign w:val="center"/>
            <w:hideMark/>
          </w:tcPr>
          <w:p w:rsidR="002B719F" w:rsidRPr="002B719F" w:rsidRDefault="002B719F" w:rsidP="002B719F">
            <w:pPr>
              <w:spacing w:after="0" w:line="240" w:lineRule="auto"/>
              <w:jc w:val="center"/>
              <w:rPr>
                <w:rFonts w:asciiTheme="majorHAnsi" w:eastAsia="Times New Roman" w:hAnsiTheme="majorHAnsi" w:cs="Calibri"/>
                <w:b/>
                <w:bCs/>
                <w:color w:val="000000"/>
                <w:sz w:val="14"/>
                <w:szCs w:val="14"/>
                <w:lang w:eastAsia="pt-BR"/>
              </w:rPr>
            </w:pPr>
            <w:r w:rsidRPr="002B719F">
              <w:rPr>
                <w:rFonts w:asciiTheme="majorHAnsi" w:eastAsia="Times New Roman" w:hAnsiTheme="majorHAnsi" w:cs="Calibri"/>
                <w:b/>
                <w:bCs/>
                <w:color w:val="000000"/>
                <w:sz w:val="14"/>
                <w:szCs w:val="14"/>
                <w:lang w:eastAsia="pt-BR"/>
              </w:rPr>
              <w:t>Tipo de Ativo</w:t>
            </w:r>
          </w:p>
        </w:tc>
        <w:tc>
          <w:tcPr>
            <w:tcW w:w="937" w:type="pct"/>
            <w:tcBorders>
              <w:top w:val="nil"/>
              <w:left w:val="nil"/>
              <w:bottom w:val="single" w:sz="8" w:space="0" w:color="auto"/>
              <w:right w:val="single" w:sz="4" w:space="0" w:color="auto"/>
            </w:tcBorders>
            <w:shd w:val="clear" w:color="000000" w:fill="D9D9D9"/>
            <w:vAlign w:val="center"/>
            <w:hideMark/>
          </w:tcPr>
          <w:p w:rsidR="002B719F" w:rsidRPr="002B719F" w:rsidRDefault="002B719F" w:rsidP="002B719F">
            <w:pPr>
              <w:spacing w:after="0" w:line="240" w:lineRule="auto"/>
              <w:jc w:val="center"/>
              <w:rPr>
                <w:rFonts w:asciiTheme="majorHAnsi" w:eastAsia="Times New Roman" w:hAnsiTheme="majorHAnsi" w:cs="Calibri"/>
                <w:b/>
                <w:bCs/>
                <w:color w:val="000000"/>
                <w:sz w:val="14"/>
                <w:szCs w:val="14"/>
                <w:lang w:eastAsia="pt-BR"/>
              </w:rPr>
            </w:pPr>
            <w:r w:rsidRPr="002B719F">
              <w:rPr>
                <w:rFonts w:asciiTheme="majorHAnsi" w:eastAsia="Times New Roman" w:hAnsiTheme="majorHAnsi" w:cs="Calibri"/>
                <w:b/>
                <w:bCs/>
                <w:color w:val="000000"/>
                <w:sz w:val="14"/>
                <w:szCs w:val="14"/>
                <w:lang w:eastAsia="pt-BR"/>
              </w:rPr>
              <w:t>Limite Inferior (%)</w:t>
            </w:r>
          </w:p>
        </w:tc>
        <w:tc>
          <w:tcPr>
            <w:tcW w:w="937" w:type="pct"/>
            <w:tcBorders>
              <w:top w:val="nil"/>
              <w:left w:val="nil"/>
              <w:bottom w:val="single" w:sz="8" w:space="0" w:color="auto"/>
              <w:right w:val="single" w:sz="8" w:space="0" w:color="auto"/>
            </w:tcBorders>
            <w:shd w:val="clear" w:color="000000" w:fill="D9D9D9"/>
            <w:vAlign w:val="center"/>
            <w:hideMark/>
          </w:tcPr>
          <w:p w:rsidR="002B719F" w:rsidRPr="002B719F" w:rsidRDefault="002B719F" w:rsidP="002B719F">
            <w:pPr>
              <w:spacing w:after="0" w:line="240" w:lineRule="auto"/>
              <w:jc w:val="center"/>
              <w:rPr>
                <w:rFonts w:asciiTheme="majorHAnsi" w:eastAsia="Times New Roman" w:hAnsiTheme="majorHAnsi" w:cs="Calibri"/>
                <w:b/>
                <w:bCs/>
                <w:color w:val="000000"/>
                <w:sz w:val="14"/>
                <w:szCs w:val="14"/>
                <w:lang w:eastAsia="pt-BR"/>
              </w:rPr>
            </w:pPr>
            <w:r w:rsidRPr="002B719F">
              <w:rPr>
                <w:rFonts w:asciiTheme="majorHAnsi" w:eastAsia="Times New Roman" w:hAnsiTheme="majorHAnsi" w:cs="Calibri"/>
                <w:b/>
                <w:bCs/>
                <w:color w:val="000000"/>
                <w:sz w:val="14"/>
                <w:szCs w:val="14"/>
                <w:lang w:eastAsia="pt-BR"/>
              </w:rPr>
              <w:t>Limite Superior (%)</w:t>
            </w:r>
          </w:p>
        </w:tc>
      </w:tr>
      <w:tr w:rsidR="002B719F" w:rsidRPr="002B719F" w:rsidTr="002B719F">
        <w:trPr>
          <w:trHeight w:val="300"/>
        </w:trPr>
        <w:tc>
          <w:tcPr>
            <w:tcW w:w="463" w:type="pct"/>
            <w:vMerge w:val="restart"/>
            <w:tcBorders>
              <w:top w:val="nil"/>
              <w:left w:val="single" w:sz="8" w:space="0" w:color="auto"/>
              <w:bottom w:val="single" w:sz="8" w:space="0" w:color="000000"/>
              <w:right w:val="single" w:sz="8" w:space="0" w:color="auto"/>
            </w:tcBorders>
            <w:shd w:val="clear" w:color="000000" w:fill="D9D9D9"/>
            <w:vAlign w:val="center"/>
            <w:hideMark/>
          </w:tcPr>
          <w:p w:rsidR="002B719F" w:rsidRPr="002B719F" w:rsidRDefault="002B719F" w:rsidP="002B719F">
            <w:pPr>
              <w:spacing w:after="0" w:line="240" w:lineRule="auto"/>
              <w:jc w:val="center"/>
              <w:rPr>
                <w:rFonts w:asciiTheme="majorHAnsi" w:eastAsia="Times New Roman" w:hAnsiTheme="majorHAnsi" w:cs="Calibri"/>
                <w:b/>
                <w:bCs/>
                <w:color w:val="000000"/>
                <w:sz w:val="14"/>
                <w:szCs w:val="14"/>
                <w:lang w:eastAsia="pt-BR"/>
              </w:rPr>
            </w:pPr>
            <w:r w:rsidRPr="002B719F">
              <w:rPr>
                <w:rFonts w:asciiTheme="majorHAnsi" w:eastAsia="Times New Roman" w:hAnsiTheme="majorHAnsi" w:cs="Calibri"/>
                <w:b/>
                <w:bCs/>
                <w:color w:val="000000"/>
                <w:sz w:val="14"/>
                <w:szCs w:val="14"/>
                <w:lang w:eastAsia="pt-BR"/>
              </w:rPr>
              <w:t>Renda Fixa</w:t>
            </w:r>
          </w:p>
        </w:tc>
        <w:tc>
          <w:tcPr>
            <w:tcW w:w="2664" w:type="pct"/>
            <w:tcBorders>
              <w:top w:val="nil"/>
              <w:left w:val="nil"/>
              <w:bottom w:val="single" w:sz="4" w:space="0" w:color="auto"/>
              <w:right w:val="single" w:sz="4" w:space="0" w:color="auto"/>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Títulos Tesouro Nacional – SELIC - Art. 7º, I, “a”.</w:t>
            </w:r>
          </w:p>
        </w:tc>
        <w:tc>
          <w:tcPr>
            <w:tcW w:w="937" w:type="pct"/>
            <w:tcBorders>
              <w:top w:val="nil"/>
              <w:left w:val="nil"/>
              <w:bottom w:val="single" w:sz="4" w:space="0" w:color="auto"/>
              <w:right w:val="single" w:sz="4"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c>
          <w:tcPr>
            <w:tcW w:w="937" w:type="pct"/>
            <w:tcBorders>
              <w:top w:val="nil"/>
              <w:left w:val="nil"/>
              <w:bottom w:val="single" w:sz="4" w:space="0" w:color="auto"/>
              <w:right w:val="single" w:sz="8"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r>
      <w:tr w:rsidR="002B719F" w:rsidRPr="002B719F" w:rsidTr="002B719F">
        <w:trPr>
          <w:trHeight w:val="300"/>
        </w:trPr>
        <w:tc>
          <w:tcPr>
            <w:tcW w:w="463" w:type="pct"/>
            <w:vMerge/>
            <w:tcBorders>
              <w:top w:val="nil"/>
              <w:left w:val="single" w:sz="8" w:space="0" w:color="auto"/>
              <w:bottom w:val="single" w:sz="8" w:space="0" w:color="000000"/>
              <w:right w:val="single" w:sz="8" w:space="0" w:color="auto"/>
            </w:tcBorders>
            <w:vAlign w:val="center"/>
            <w:hideMark/>
          </w:tcPr>
          <w:p w:rsidR="002B719F" w:rsidRPr="002B719F" w:rsidRDefault="002B719F" w:rsidP="002B719F">
            <w:pPr>
              <w:spacing w:after="0" w:line="240" w:lineRule="auto"/>
              <w:rPr>
                <w:rFonts w:asciiTheme="majorHAnsi" w:eastAsia="Times New Roman" w:hAnsiTheme="majorHAnsi" w:cs="Calibri"/>
                <w:b/>
                <w:bCs/>
                <w:color w:val="000000"/>
                <w:sz w:val="14"/>
                <w:szCs w:val="14"/>
                <w:lang w:eastAsia="pt-BR"/>
              </w:rPr>
            </w:pPr>
          </w:p>
        </w:tc>
        <w:tc>
          <w:tcPr>
            <w:tcW w:w="2664" w:type="pct"/>
            <w:tcBorders>
              <w:top w:val="nil"/>
              <w:left w:val="nil"/>
              <w:bottom w:val="single" w:sz="4" w:space="0" w:color="auto"/>
              <w:right w:val="single" w:sz="4" w:space="0" w:color="auto"/>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FI 100% títulos TN - Art. 7º, I, "b"</w:t>
            </w:r>
          </w:p>
        </w:tc>
        <w:tc>
          <w:tcPr>
            <w:tcW w:w="937" w:type="pct"/>
            <w:tcBorders>
              <w:top w:val="nil"/>
              <w:left w:val="nil"/>
              <w:bottom w:val="single" w:sz="4" w:space="0" w:color="auto"/>
              <w:right w:val="single" w:sz="4"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30,00%</w:t>
            </w:r>
          </w:p>
        </w:tc>
        <w:tc>
          <w:tcPr>
            <w:tcW w:w="937" w:type="pct"/>
            <w:tcBorders>
              <w:top w:val="nil"/>
              <w:left w:val="nil"/>
              <w:bottom w:val="single" w:sz="4" w:space="0" w:color="auto"/>
              <w:right w:val="single" w:sz="8"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70,00%</w:t>
            </w:r>
          </w:p>
        </w:tc>
      </w:tr>
      <w:tr w:rsidR="002B719F" w:rsidRPr="002B719F" w:rsidTr="002B719F">
        <w:trPr>
          <w:trHeight w:val="315"/>
        </w:trPr>
        <w:tc>
          <w:tcPr>
            <w:tcW w:w="463" w:type="pct"/>
            <w:vMerge/>
            <w:tcBorders>
              <w:top w:val="nil"/>
              <w:left w:val="single" w:sz="8" w:space="0" w:color="auto"/>
              <w:bottom w:val="single" w:sz="8" w:space="0" w:color="000000"/>
              <w:right w:val="single" w:sz="8" w:space="0" w:color="auto"/>
            </w:tcBorders>
            <w:vAlign w:val="center"/>
            <w:hideMark/>
          </w:tcPr>
          <w:p w:rsidR="002B719F" w:rsidRPr="002B719F" w:rsidRDefault="002B719F" w:rsidP="002B719F">
            <w:pPr>
              <w:spacing w:after="0" w:line="240" w:lineRule="auto"/>
              <w:rPr>
                <w:rFonts w:asciiTheme="majorHAnsi" w:eastAsia="Times New Roman" w:hAnsiTheme="majorHAnsi" w:cs="Calibri"/>
                <w:b/>
                <w:bCs/>
                <w:color w:val="000000"/>
                <w:sz w:val="14"/>
                <w:szCs w:val="14"/>
                <w:lang w:eastAsia="pt-BR"/>
              </w:rPr>
            </w:pPr>
          </w:p>
        </w:tc>
        <w:tc>
          <w:tcPr>
            <w:tcW w:w="2664" w:type="pct"/>
            <w:tcBorders>
              <w:top w:val="nil"/>
              <w:left w:val="nil"/>
              <w:bottom w:val="single" w:sz="4" w:space="0" w:color="auto"/>
              <w:right w:val="single" w:sz="4" w:space="0" w:color="auto"/>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Operações Compromissadas - Art. 7º, II</w:t>
            </w:r>
          </w:p>
        </w:tc>
        <w:tc>
          <w:tcPr>
            <w:tcW w:w="937" w:type="pct"/>
            <w:tcBorders>
              <w:top w:val="nil"/>
              <w:left w:val="nil"/>
              <w:bottom w:val="single" w:sz="4" w:space="0" w:color="auto"/>
              <w:right w:val="single" w:sz="4"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c>
          <w:tcPr>
            <w:tcW w:w="937" w:type="pct"/>
            <w:tcBorders>
              <w:top w:val="nil"/>
              <w:left w:val="nil"/>
              <w:bottom w:val="single" w:sz="4" w:space="0" w:color="auto"/>
              <w:right w:val="single" w:sz="8"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r>
      <w:tr w:rsidR="002B719F" w:rsidRPr="002B719F" w:rsidTr="002B719F">
        <w:trPr>
          <w:trHeight w:val="300"/>
        </w:trPr>
        <w:tc>
          <w:tcPr>
            <w:tcW w:w="463" w:type="pct"/>
            <w:vMerge/>
            <w:tcBorders>
              <w:top w:val="nil"/>
              <w:left w:val="single" w:sz="8" w:space="0" w:color="auto"/>
              <w:bottom w:val="single" w:sz="8" w:space="0" w:color="000000"/>
              <w:right w:val="single" w:sz="8" w:space="0" w:color="auto"/>
            </w:tcBorders>
            <w:vAlign w:val="center"/>
            <w:hideMark/>
          </w:tcPr>
          <w:p w:rsidR="002B719F" w:rsidRPr="002B719F" w:rsidRDefault="002B719F" w:rsidP="002B719F">
            <w:pPr>
              <w:spacing w:after="0" w:line="240" w:lineRule="auto"/>
              <w:rPr>
                <w:rFonts w:asciiTheme="majorHAnsi" w:eastAsia="Times New Roman" w:hAnsiTheme="majorHAnsi" w:cs="Calibri"/>
                <w:b/>
                <w:bCs/>
                <w:color w:val="000000"/>
                <w:sz w:val="14"/>
                <w:szCs w:val="14"/>
                <w:lang w:eastAsia="pt-BR"/>
              </w:rPr>
            </w:pPr>
          </w:p>
        </w:tc>
        <w:tc>
          <w:tcPr>
            <w:tcW w:w="2664" w:type="pct"/>
            <w:tcBorders>
              <w:top w:val="nil"/>
              <w:left w:val="nil"/>
              <w:bottom w:val="single" w:sz="4" w:space="0" w:color="auto"/>
              <w:right w:val="single" w:sz="4" w:space="0" w:color="auto"/>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FI Renda Fixa/Referenciados RF - Art. 7º, III, Alínea “a”</w:t>
            </w:r>
          </w:p>
        </w:tc>
        <w:tc>
          <w:tcPr>
            <w:tcW w:w="937" w:type="pct"/>
            <w:tcBorders>
              <w:top w:val="nil"/>
              <w:left w:val="nil"/>
              <w:bottom w:val="single" w:sz="4" w:space="0" w:color="auto"/>
              <w:right w:val="single" w:sz="4"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15,00%</w:t>
            </w:r>
          </w:p>
        </w:tc>
        <w:tc>
          <w:tcPr>
            <w:tcW w:w="937" w:type="pct"/>
            <w:tcBorders>
              <w:top w:val="nil"/>
              <w:left w:val="nil"/>
              <w:bottom w:val="single" w:sz="4" w:space="0" w:color="auto"/>
              <w:right w:val="single" w:sz="8"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60,00%</w:t>
            </w:r>
          </w:p>
        </w:tc>
      </w:tr>
      <w:tr w:rsidR="002B719F" w:rsidRPr="002B719F" w:rsidTr="002B719F">
        <w:trPr>
          <w:trHeight w:val="315"/>
        </w:trPr>
        <w:tc>
          <w:tcPr>
            <w:tcW w:w="463" w:type="pct"/>
            <w:vMerge/>
            <w:tcBorders>
              <w:top w:val="nil"/>
              <w:left w:val="single" w:sz="8" w:space="0" w:color="auto"/>
              <w:bottom w:val="single" w:sz="8" w:space="0" w:color="000000"/>
              <w:right w:val="single" w:sz="8" w:space="0" w:color="auto"/>
            </w:tcBorders>
            <w:vAlign w:val="center"/>
            <w:hideMark/>
          </w:tcPr>
          <w:p w:rsidR="002B719F" w:rsidRPr="002B719F" w:rsidRDefault="002B719F" w:rsidP="002B719F">
            <w:pPr>
              <w:spacing w:after="0" w:line="240" w:lineRule="auto"/>
              <w:rPr>
                <w:rFonts w:asciiTheme="majorHAnsi" w:eastAsia="Times New Roman" w:hAnsiTheme="majorHAnsi" w:cs="Calibri"/>
                <w:b/>
                <w:bCs/>
                <w:color w:val="000000"/>
                <w:sz w:val="14"/>
                <w:szCs w:val="14"/>
                <w:lang w:eastAsia="pt-BR"/>
              </w:rPr>
            </w:pPr>
          </w:p>
        </w:tc>
        <w:tc>
          <w:tcPr>
            <w:tcW w:w="2664" w:type="pct"/>
            <w:tcBorders>
              <w:top w:val="nil"/>
              <w:left w:val="nil"/>
              <w:bottom w:val="single" w:sz="4" w:space="0" w:color="auto"/>
              <w:right w:val="single" w:sz="4" w:space="0" w:color="auto"/>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FI de Índices Renda Fixa - Art. 7º, III, Alínea “b”</w:t>
            </w:r>
          </w:p>
        </w:tc>
        <w:tc>
          <w:tcPr>
            <w:tcW w:w="937" w:type="pct"/>
            <w:tcBorders>
              <w:top w:val="nil"/>
              <w:left w:val="nil"/>
              <w:bottom w:val="single" w:sz="4" w:space="0" w:color="auto"/>
              <w:right w:val="single" w:sz="4"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c>
          <w:tcPr>
            <w:tcW w:w="937" w:type="pct"/>
            <w:tcBorders>
              <w:top w:val="nil"/>
              <w:left w:val="nil"/>
              <w:bottom w:val="single" w:sz="4" w:space="0" w:color="auto"/>
              <w:right w:val="single" w:sz="8"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r>
      <w:tr w:rsidR="002B719F" w:rsidRPr="002B719F" w:rsidTr="002B719F">
        <w:trPr>
          <w:trHeight w:val="300"/>
        </w:trPr>
        <w:tc>
          <w:tcPr>
            <w:tcW w:w="463" w:type="pct"/>
            <w:vMerge/>
            <w:tcBorders>
              <w:top w:val="nil"/>
              <w:left w:val="single" w:sz="8" w:space="0" w:color="auto"/>
              <w:bottom w:val="single" w:sz="8" w:space="0" w:color="000000"/>
              <w:right w:val="single" w:sz="8" w:space="0" w:color="auto"/>
            </w:tcBorders>
            <w:vAlign w:val="center"/>
            <w:hideMark/>
          </w:tcPr>
          <w:p w:rsidR="002B719F" w:rsidRPr="002B719F" w:rsidRDefault="002B719F" w:rsidP="002B719F">
            <w:pPr>
              <w:spacing w:after="0" w:line="240" w:lineRule="auto"/>
              <w:rPr>
                <w:rFonts w:asciiTheme="majorHAnsi" w:eastAsia="Times New Roman" w:hAnsiTheme="majorHAnsi" w:cs="Calibri"/>
                <w:b/>
                <w:bCs/>
                <w:color w:val="000000"/>
                <w:sz w:val="14"/>
                <w:szCs w:val="14"/>
                <w:lang w:eastAsia="pt-BR"/>
              </w:rPr>
            </w:pPr>
          </w:p>
        </w:tc>
        <w:tc>
          <w:tcPr>
            <w:tcW w:w="2664" w:type="pct"/>
            <w:tcBorders>
              <w:top w:val="nil"/>
              <w:left w:val="nil"/>
              <w:bottom w:val="single" w:sz="4" w:space="0" w:color="auto"/>
              <w:right w:val="single" w:sz="4" w:space="0" w:color="auto"/>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FI de Renda Fixa - Art. 7º, IV, Alínea “a”</w:t>
            </w:r>
          </w:p>
        </w:tc>
        <w:tc>
          <w:tcPr>
            <w:tcW w:w="937" w:type="pct"/>
            <w:tcBorders>
              <w:top w:val="nil"/>
              <w:left w:val="nil"/>
              <w:bottom w:val="single" w:sz="4" w:space="0" w:color="auto"/>
              <w:right w:val="single" w:sz="4"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5,00%</w:t>
            </w:r>
          </w:p>
        </w:tc>
        <w:tc>
          <w:tcPr>
            <w:tcW w:w="937" w:type="pct"/>
            <w:tcBorders>
              <w:top w:val="nil"/>
              <w:left w:val="nil"/>
              <w:bottom w:val="single" w:sz="4" w:space="0" w:color="auto"/>
              <w:right w:val="single" w:sz="8"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30,00%</w:t>
            </w:r>
          </w:p>
        </w:tc>
      </w:tr>
      <w:tr w:rsidR="002B719F" w:rsidRPr="002B719F" w:rsidTr="002B719F">
        <w:trPr>
          <w:trHeight w:val="300"/>
        </w:trPr>
        <w:tc>
          <w:tcPr>
            <w:tcW w:w="463" w:type="pct"/>
            <w:vMerge/>
            <w:tcBorders>
              <w:top w:val="nil"/>
              <w:left w:val="single" w:sz="8" w:space="0" w:color="auto"/>
              <w:bottom w:val="single" w:sz="8" w:space="0" w:color="000000"/>
              <w:right w:val="single" w:sz="8" w:space="0" w:color="auto"/>
            </w:tcBorders>
            <w:vAlign w:val="center"/>
            <w:hideMark/>
          </w:tcPr>
          <w:p w:rsidR="002B719F" w:rsidRPr="002B719F" w:rsidRDefault="002B719F" w:rsidP="002B719F">
            <w:pPr>
              <w:spacing w:after="0" w:line="240" w:lineRule="auto"/>
              <w:rPr>
                <w:rFonts w:asciiTheme="majorHAnsi" w:eastAsia="Times New Roman" w:hAnsiTheme="majorHAnsi" w:cs="Calibri"/>
                <w:b/>
                <w:bCs/>
                <w:color w:val="000000"/>
                <w:sz w:val="14"/>
                <w:szCs w:val="14"/>
                <w:lang w:eastAsia="pt-BR"/>
              </w:rPr>
            </w:pPr>
          </w:p>
        </w:tc>
        <w:tc>
          <w:tcPr>
            <w:tcW w:w="2664" w:type="pct"/>
            <w:tcBorders>
              <w:top w:val="nil"/>
              <w:left w:val="nil"/>
              <w:bottom w:val="single" w:sz="4" w:space="0" w:color="auto"/>
              <w:right w:val="single" w:sz="4" w:space="0" w:color="auto"/>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FI de Índices Renda Fixa - Art. 7º, IV, Alínea “b”</w:t>
            </w:r>
          </w:p>
        </w:tc>
        <w:tc>
          <w:tcPr>
            <w:tcW w:w="937" w:type="pct"/>
            <w:tcBorders>
              <w:top w:val="nil"/>
              <w:left w:val="nil"/>
              <w:bottom w:val="single" w:sz="4" w:space="0" w:color="auto"/>
              <w:right w:val="single" w:sz="4"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c>
          <w:tcPr>
            <w:tcW w:w="937" w:type="pct"/>
            <w:tcBorders>
              <w:top w:val="nil"/>
              <w:left w:val="nil"/>
              <w:bottom w:val="single" w:sz="4" w:space="0" w:color="auto"/>
              <w:right w:val="single" w:sz="8"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r>
      <w:tr w:rsidR="002B719F" w:rsidRPr="002B719F" w:rsidTr="002B719F">
        <w:trPr>
          <w:trHeight w:val="300"/>
        </w:trPr>
        <w:tc>
          <w:tcPr>
            <w:tcW w:w="463" w:type="pct"/>
            <w:vMerge/>
            <w:tcBorders>
              <w:top w:val="nil"/>
              <w:left w:val="single" w:sz="8" w:space="0" w:color="auto"/>
              <w:bottom w:val="single" w:sz="8" w:space="0" w:color="000000"/>
              <w:right w:val="single" w:sz="8" w:space="0" w:color="auto"/>
            </w:tcBorders>
            <w:vAlign w:val="center"/>
            <w:hideMark/>
          </w:tcPr>
          <w:p w:rsidR="002B719F" w:rsidRPr="002B719F" w:rsidRDefault="002B719F" w:rsidP="002B719F">
            <w:pPr>
              <w:spacing w:after="0" w:line="240" w:lineRule="auto"/>
              <w:rPr>
                <w:rFonts w:asciiTheme="majorHAnsi" w:eastAsia="Times New Roman" w:hAnsiTheme="majorHAnsi" w:cs="Calibri"/>
                <w:b/>
                <w:bCs/>
                <w:color w:val="000000"/>
                <w:sz w:val="14"/>
                <w:szCs w:val="14"/>
                <w:lang w:eastAsia="pt-BR"/>
              </w:rPr>
            </w:pPr>
          </w:p>
        </w:tc>
        <w:tc>
          <w:tcPr>
            <w:tcW w:w="2664" w:type="pct"/>
            <w:tcBorders>
              <w:top w:val="nil"/>
              <w:left w:val="nil"/>
              <w:bottom w:val="single" w:sz="4" w:space="0" w:color="auto"/>
              <w:right w:val="single" w:sz="4" w:space="0" w:color="auto"/>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Poupança - Art. 7º, V, Alínea “a”</w:t>
            </w:r>
          </w:p>
        </w:tc>
        <w:tc>
          <w:tcPr>
            <w:tcW w:w="937" w:type="pct"/>
            <w:tcBorders>
              <w:top w:val="nil"/>
              <w:left w:val="nil"/>
              <w:bottom w:val="single" w:sz="4" w:space="0" w:color="auto"/>
              <w:right w:val="single" w:sz="4"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c>
          <w:tcPr>
            <w:tcW w:w="937" w:type="pct"/>
            <w:tcBorders>
              <w:top w:val="nil"/>
              <w:left w:val="nil"/>
              <w:bottom w:val="single" w:sz="4" w:space="0" w:color="auto"/>
              <w:right w:val="single" w:sz="8"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r>
      <w:tr w:rsidR="002B719F" w:rsidRPr="002B719F" w:rsidTr="002B719F">
        <w:trPr>
          <w:trHeight w:val="300"/>
        </w:trPr>
        <w:tc>
          <w:tcPr>
            <w:tcW w:w="463" w:type="pct"/>
            <w:vMerge/>
            <w:tcBorders>
              <w:top w:val="nil"/>
              <w:left w:val="single" w:sz="8" w:space="0" w:color="auto"/>
              <w:bottom w:val="single" w:sz="8" w:space="0" w:color="000000"/>
              <w:right w:val="single" w:sz="8" w:space="0" w:color="auto"/>
            </w:tcBorders>
            <w:vAlign w:val="center"/>
            <w:hideMark/>
          </w:tcPr>
          <w:p w:rsidR="002B719F" w:rsidRPr="002B719F" w:rsidRDefault="002B719F" w:rsidP="002B719F">
            <w:pPr>
              <w:spacing w:after="0" w:line="240" w:lineRule="auto"/>
              <w:rPr>
                <w:rFonts w:asciiTheme="majorHAnsi" w:eastAsia="Times New Roman" w:hAnsiTheme="majorHAnsi" w:cs="Calibri"/>
                <w:b/>
                <w:bCs/>
                <w:color w:val="000000"/>
                <w:sz w:val="14"/>
                <w:szCs w:val="14"/>
                <w:lang w:eastAsia="pt-BR"/>
              </w:rPr>
            </w:pPr>
          </w:p>
        </w:tc>
        <w:tc>
          <w:tcPr>
            <w:tcW w:w="2664" w:type="pct"/>
            <w:tcBorders>
              <w:top w:val="nil"/>
              <w:left w:val="nil"/>
              <w:bottom w:val="single" w:sz="4" w:space="0" w:color="auto"/>
              <w:right w:val="single" w:sz="4" w:space="0" w:color="auto"/>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Letras Imobiliárias Garantidas- Art. 7º, V, Alínea “a”</w:t>
            </w:r>
          </w:p>
        </w:tc>
        <w:tc>
          <w:tcPr>
            <w:tcW w:w="937" w:type="pct"/>
            <w:tcBorders>
              <w:top w:val="nil"/>
              <w:left w:val="nil"/>
              <w:bottom w:val="single" w:sz="4" w:space="0" w:color="auto"/>
              <w:right w:val="single" w:sz="4"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c>
          <w:tcPr>
            <w:tcW w:w="937" w:type="pct"/>
            <w:tcBorders>
              <w:top w:val="nil"/>
              <w:left w:val="nil"/>
              <w:bottom w:val="single" w:sz="4" w:space="0" w:color="auto"/>
              <w:right w:val="single" w:sz="8"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r>
      <w:tr w:rsidR="002B719F" w:rsidRPr="002B719F" w:rsidTr="002B719F">
        <w:trPr>
          <w:trHeight w:val="300"/>
        </w:trPr>
        <w:tc>
          <w:tcPr>
            <w:tcW w:w="463" w:type="pct"/>
            <w:vMerge/>
            <w:tcBorders>
              <w:top w:val="nil"/>
              <w:left w:val="single" w:sz="8" w:space="0" w:color="auto"/>
              <w:bottom w:val="single" w:sz="8" w:space="0" w:color="000000"/>
              <w:right w:val="single" w:sz="8" w:space="0" w:color="auto"/>
            </w:tcBorders>
            <w:vAlign w:val="center"/>
            <w:hideMark/>
          </w:tcPr>
          <w:p w:rsidR="002B719F" w:rsidRPr="002B719F" w:rsidRDefault="002B719F" w:rsidP="002B719F">
            <w:pPr>
              <w:spacing w:after="0" w:line="240" w:lineRule="auto"/>
              <w:rPr>
                <w:rFonts w:asciiTheme="majorHAnsi" w:eastAsia="Times New Roman" w:hAnsiTheme="majorHAnsi" w:cs="Calibri"/>
                <w:b/>
                <w:bCs/>
                <w:color w:val="000000"/>
                <w:sz w:val="14"/>
                <w:szCs w:val="14"/>
                <w:lang w:eastAsia="pt-BR"/>
              </w:rPr>
            </w:pPr>
          </w:p>
        </w:tc>
        <w:tc>
          <w:tcPr>
            <w:tcW w:w="2664" w:type="pct"/>
            <w:tcBorders>
              <w:top w:val="nil"/>
              <w:left w:val="nil"/>
              <w:bottom w:val="single" w:sz="4" w:space="0" w:color="auto"/>
              <w:right w:val="single" w:sz="4" w:space="0" w:color="auto"/>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FI em Direitos Creditórios - aberto - sênior Art. 7º, VI.</w:t>
            </w:r>
          </w:p>
        </w:tc>
        <w:tc>
          <w:tcPr>
            <w:tcW w:w="937" w:type="pct"/>
            <w:tcBorders>
              <w:top w:val="nil"/>
              <w:left w:val="nil"/>
              <w:bottom w:val="single" w:sz="4" w:space="0" w:color="auto"/>
              <w:right w:val="single" w:sz="4"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5,00%</w:t>
            </w:r>
          </w:p>
        </w:tc>
        <w:tc>
          <w:tcPr>
            <w:tcW w:w="937" w:type="pct"/>
            <w:tcBorders>
              <w:top w:val="nil"/>
              <w:left w:val="nil"/>
              <w:bottom w:val="single" w:sz="4" w:space="0" w:color="auto"/>
              <w:right w:val="single" w:sz="8"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15,00%</w:t>
            </w:r>
          </w:p>
        </w:tc>
      </w:tr>
      <w:tr w:rsidR="002B719F" w:rsidRPr="002B719F" w:rsidTr="002B719F">
        <w:trPr>
          <w:trHeight w:val="300"/>
        </w:trPr>
        <w:tc>
          <w:tcPr>
            <w:tcW w:w="463" w:type="pct"/>
            <w:vMerge/>
            <w:tcBorders>
              <w:top w:val="nil"/>
              <w:left w:val="single" w:sz="8" w:space="0" w:color="auto"/>
              <w:bottom w:val="single" w:sz="8" w:space="0" w:color="000000"/>
              <w:right w:val="single" w:sz="8" w:space="0" w:color="auto"/>
            </w:tcBorders>
            <w:vAlign w:val="center"/>
            <w:hideMark/>
          </w:tcPr>
          <w:p w:rsidR="002B719F" w:rsidRPr="002B719F" w:rsidRDefault="002B719F" w:rsidP="002B719F">
            <w:pPr>
              <w:spacing w:after="0" w:line="240" w:lineRule="auto"/>
              <w:rPr>
                <w:rFonts w:asciiTheme="majorHAnsi" w:eastAsia="Times New Roman" w:hAnsiTheme="majorHAnsi" w:cs="Calibri"/>
                <w:b/>
                <w:bCs/>
                <w:color w:val="000000"/>
                <w:sz w:val="14"/>
                <w:szCs w:val="14"/>
                <w:lang w:eastAsia="pt-BR"/>
              </w:rPr>
            </w:pPr>
          </w:p>
        </w:tc>
        <w:tc>
          <w:tcPr>
            <w:tcW w:w="2664" w:type="pct"/>
            <w:tcBorders>
              <w:top w:val="nil"/>
              <w:left w:val="nil"/>
              <w:bottom w:val="single" w:sz="4" w:space="0" w:color="auto"/>
              <w:right w:val="single" w:sz="4" w:space="0" w:color="auto"/>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FI em Direitos Creditórios - aberto - subordinada Art. 7º, VI.</w:t>
            </w:r>
          </w:p>
        </w:tc>
        <w:tc>
          <w:tcPr>
            <w:tcW w:w="937" w:type="pct"/>
            <w:tcBorders>
              <w:top w:val="nil"/>
              <w:left w:val="nil"/>
              <w:bottom w:val="single" w:sz="4" w:space="0" w:color="auto"/>
              <w:right w:val="single" w:sz="4"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c>
          <w:tcPr>
            <w:tcW w:w="937" w:type="pct"/>
            <w:tcBorders>
              <w:top w:val="nil"/>
              <w:left w:val="nil"/>
              <w:bottom w:val="single" w:sz="4" w:space="0" w:color="auto"/>
              <w:right w:val="single" w:sz="8"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r>
      <w:tr w:rsidR="002B719F" w:rsidRPr="002B719F" w:rsidTr="002B719F">
        <w:trPr>
          <w:trHeight w:val="300"/>
        </w:trPr>
        <w:tc>
          <w:tcPr>
            <w:tcW w:w="463" w:type="pct"/>
            <w:vMerge/>
            <w:tcBorders>
              <w:top w:val="nil"/>
              <w:left w:val="single" w:sz="8" w:space="0" w:color="auto"/>
              <w:bottom w:val="single" w:sz="8" w:space="0" w:color="000000"/>
              <w:right w:val="single" w:sz="8" w:space="0" w:color="auto"/>
            </w:tcBorders>
            <w:vAlign w:val="center"/>
            <w:hideMark/>
          </w:tcPr>
          <w:p w:rsidR="002B719F" w:rsidRPr="002B719F" w:rsidRDefault="002B719F" w:rsidP="002B719F">
            <w:pPr>
              <w:spacing w:after="0" w:line="240" w:lineRule="auto"/>
              <w:rPr>
                <w:rFonts w:asciiTheme="majorHAnsi" w:eastAsia="Times New Roman" w:hAnsiTheme="majorHAnsi" w:cs="Calibri"/>
                <w:b/>
                <w:bCs/>
                <w:color w:val="000000"/>
                <w:sz w:val="14"/>
                <w:szCs w:val="14"/>
                <w:lang w:eastAsia="pt-BR"/>
              </w:rPr>
            </w:pPr>
          </w:p>
        </w:tc>
        <w:tc>
          <w:tcPr>
            <w:tcW w:w="2664" w:type="pct"/>
            <w:tcBorders>
              <w:top w:val="nil"/>
              <w:left w:val="nil"/>
              <w:bottom w:val="single" w:sz="4" w:space="0" w:color="auto"/>
              <w:right w:val="single" w:sz="4" w:space="0" w:color="auto"/>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FI em Direitos Creditórios - fechado - sênior Art. 7º, VII, "a"</w:t>
            </w:r>
          </w:p>
        </w:tc>
        <w:tc>
          <w:tcPr>
            <w:tcW w:w="937" w:type="pct"/>
            <w:tcBorders>
              <w:top w:val="nil"/>
              <w:left w:val="nil"/>
              <w:bottom w:val="single" w:sz="4" w:space="0" w:color="auto"/>
              <w:right w:val="single" w:sz="4"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c>
          <w:tcPr>
            <w:tcW w:w="937" w:type="pct"/>
            <w:tcBorders>
              <w:top w:val="nil"/>
              <w:left w:val="nil"/>
              <w:bottom w:val="single" w:sz="4" w:space="0" w:color="auto"/>
              <w:right w:val="single" w:sz="8"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r>
      <w:tr w:rsidR="002B719F" w:rsidRPr="002B719F" w:rsidTr="002B719F">
        <w:trPr>
          <w:trHeight w:val="300"/>
        </w:trPr>
        <w:tc>
          <w:tcPr>
            <w:tcW w:w="463" w:type="pct"/>
            <w:vMerge/>
            <w:tcBorders>
              <w:top w:val="nil"/>
              <w:left w:val="single" w:sz="8" w:space="0" w:color="auto"/>
              <w:bottom w:val="single" w:sz="8" w:space="0" w:color="000000"/>
              <w:right w:val="single" w:sz="8" w:space="0" w:color="auto"/>
            </w:tcBorders>
            <w:vAlign w:val="center"/>
            <w:hideMark/>
          </w:tcPr>
          <w:p w:rsidR="002B719F" w:rsidRPr="002B719F" w:rsidRDefault="002B719F" w:rsidP="002B719F">
            <w:pPr>
              <w:spacing w:after="0" w:line="240" w:lineRule="auto"/>
              <w:rPr>
                <w:rFonts w:asciiTheme="majorHAnsi" w:eastAsia="Times New Roman" w:hAnsiTheme="majorHAnsi" w:cs="Calibri"/>
                <w:b/>
                <w:bCs/>
                <w:color w:val="000000"/>
                <w:sz w:val="14"/>
                <w:szCs w:val="14"/>
                <w:lang w:eastAsia="pt-BR"/>
              </w:rPr>
            </w:pPr>
          </w:p>
        </w:tc>
        <w:tc>
          <w:tcPr>
            <w:tcW w:w="2664" w:type="pct"/>
            <w:tcBorders>
              <w:top w:val="nil"/>
              <w:left w:val="nil"/>
              <w:bottom w:val="nil"/>
              <w:right w:val="single" w:sz="4" w:space="0" w:color="auto"/>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FI em Direitos Creditórios - fechado - subordinada Art. 7º, VII, "a"</w:t>
            </w:r>
          </w:p>
        </w:tc>
        <w:tc>
          <w:tcPr>
            <w:tcW w:w="937" w:type="pct"/>
            <w:tcBorders>
              <w:top w:val="nil"/>
              <w:left w:val="nil"/>
              <w:bottom w:val="nil"/>
              <w:right w:val="single" w:sz="4"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c>
          <w:tcPr>
            <w:tcW w:w="937" w:type="pct"/>
            <w:tcBorders>
              <w:top w:val="nil"/>
              <w:left w:val="nil"/>
              <w:bottom w:val="nil"/>
              <w:right w:val="single" w:sz="8"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r>
      <w:tr w:rsidR="002B719F" w:rsidRPr="002B719F" w:rsidTr="002B719F">
        <w:trPr>
          <w:trHeight w:val="315"/>
        </w:trPr>
        <w:tc>
          <w:tcPr>
            <w:tcW w:w="463" w:type="pct"/>
            <w:vMerge/>
            <w:tcBorders>
              <w:top w:val="nil"/>
              <w:left w:val="single" w:sz="8" w:space="0" w:color="auto"/>
              <w:bottom w:val="single" w:sz="8" w:space="0" w:color="000000"/>
              <w:right w:val="single" w:sz="8" w:space="0" w:color="auto"/>
            </w:tcBorders>
            <w:vAlign w:val="center"/>
            <w:hideMark/>
          </w:tcPr>
          <w:p w:rsidR="002B719F" w:rsidRPr="002B719F" w:rsidRDefault="002B719F" w:rsidP="002B719F">
            <w:pPr>
              <w:spacing w:after="0" w:line="240" w:lineRule="auto"/>
              <w:rPr>
                <w:rFonts w:asciiTheme="majorHAnsi" w:eastAsia="Times New Roman" w:hAnsiTheme="majorHAnsi" w:cs="Calibri"/>
                <w:b/>
                <w:bCs/>
                <w:color w:val="000000"/>
                <w:sz w:val="14"/>
                <w:szCs w:val="14"/>
                <w:lang w:eastAsia="pt-BR"/>
              </w:rPr>
            </w:pPr>
          </w:p>
        </w:tc>
        <w:tc>
          <w:tcPr>
            <w:tcW w:w="2664" w:type="pct"/>
            <w:tcBorders>
              <w:top w:val="single" w:sz="4" w:space="0" w:color="auto"/>
              <w:left w:val="nil"/>
              <w:bottom w:val="nil"/>
              <w:right w:val="single" w:sz="4" w:space="0" w:color="auto"/>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FI Renda Fixa "Crédito Privado"- Art. 7º, VII, "b"</w:t>
            </w:r>
          </w:p>
        </w:tc>
        <w:tc>
          <w:tcPr>
            <w:tcW w:w="937" w:type="pct"/>
            <w:tcBorders>
              <w:top w:val="single" w:sz="4" w:space="0" w:color="auto"/>
              <w:left w:val="nil"/>
              <w:bottom w:val="nil"/>
              <w:right w:val="single" w:sz="4"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c>
          <w:tcPr>
            <w:tcW w:w="937" w:type="pct"/>
            <w:tcBorders>
              <w:top w:val="single" w:sz="4" w:space="0" w:color="auto"/>
              <w:left w:val="nil"/>
              <w:bottom w:val="nil"/>
              <w:right w:val="single" w:sz="8"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r>
      <w:tr w:rsidR="002B719F" w:rsidRPr="002B719F" w:rsidTr="002B719F">
        <w:trPr>
          <w:trHeight w:val="315"/>
        </w:trPr>
        <w:tc>
          <w:tcPr>
            <w:tcW w:w="463" w:type="pct"/>
            <w:vMerge/>
            <w:tcBorders>
              <w:top w:val="nil"/>
              <w:left w:val="single" w:sz="8" w:space="0" w:color="auto"/>
              <w:bottom w:val="single" w:sz="8" w:space="0" w:color="000000"/>
              <w:right w:val="single" w:sz="8" w:space="0" w:color="auto"/>
            </w:tcBorders>
            <w:vAlign w:val="center"/>
            <w:hideMark/>
          </w:tcPr>
          <w:p w:rsidR="002B719F" w:rsidRPr="002B719F" w:rsidRDefault="002B719F" w:rsidP="002B719F">
            <w:pPr>
              <w:spacing w:after="0" w:line="240" w:lineRule="auto"/>
              <w:rPr>
                <w:rFonts w:asciiTheme="majorHAnsi" w:eastAsia="Times New Roman" w:hAnsiTheme="majorHAnsi" w:cs="Calibri"/>
                <w:b/>
                <w:bCs/>
                <w:color w:val="000000"/>
                <w:sz w:val="14"/>
                <w:szCs w:val="14"/>
                <w:lang w:eastAsia="pt-BR"/>
              </w:rPr>
            </w:pPr>
          </w:p>
        </w:tc>
        <w:tc>
          <w:tcPr>
            <w:tcW w:w="2664" w:type="pct"/>
            <w:tcBorders>
              <w:top w:val="single" w:sz="8" w:space="0" w:color="auto"/>
              <w:left w:val="nil"/>
              <w:bottom w:val="single" w:sz="8" w:space="0" w:color="auto"/>
              <w:right w:val="single" w:sz="4" w:space="0" w:color="auto"/>
            </w:tcBorders>
            <w:shd w:val="clear" w:color="000000" w:fill="D9D9D9"/>
            <w:noWrap/>
            <w:vAlign w:val="center"/>
            <w:hideMark/>
          </w:tcPr>
          <w:p w:rsidR="002B719F" w:rsidRPr="002B719F" w:rsidRDefault="002B719F" w:rsidP="002B719F">
            <w:pPr>
              <w:spacing w:after="0" w:line="240" w:lineRule="auto"/>
              <w:jc w:val="center"/>
              <w:rPr>
                <w:rFonts w:asciiTheme="majorHAnsi" w:eastAsia="Times New Roman" w:hAnsiTheme="majorHAnsi" w:cs="Calibri"/>
                <w:b/>
                <w:bCs/>
                <w:color w:val="000000"/>
                <w:sz w:val="14"/>
                <w:szCs w:val="14"/>
                <w:lang w:eastAsia="pt-BR"/>
              </w:rPr>
            </w:pPr>
            <w:r w:rsidRPr="002B719F">
              <w:rPr>
                <w:rFonts w:asciiTheme="majorHAnsi" w:eastAsia="Times New Roman" w:hAnsiTheme="majorHAnsi" w:cs="Calibri"/>
                <w:b/>
                <w:bCs/>
                <w:color w:val="000000"/>
                <w:sz w:val="14"/>
                <w:szCs w:val="14"/>
                <w:lang w:eastAsia="pt-BR"/>
              </w:rPr>
              <w:t>Subtotal</w:t>
            </w:r>
          </w:p>
        </w:tc>
        <w:tc>
          <w:tcPr>
            <w:tcW w:w="93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2B719F" w:rsidRPr="002B719F" w:rsidRDefault="002B719F" w:rsidP="002B719F">
            <w:pPr>
              <w:spacing w:after="0" w:line="240" w:lineRule="auto"/>
              <w:jc w:val="center"/>
              <w:rPr>
                <w:rFonts w:asciiTheme="majorHAnsi" w:eastAsia="Times New Roman" w:hAnsiTheme="majorHAnsi" w:cs="Calibri"/>
                <w:b/>
                <w:bCs/>
                <w:color w:val="000000"/>
                <w:sz w:val="14"/>
                <w:szCs w:val="14"/>
                <w:lang w:eastAsia="pt-BR"/>
              </w:rPr>
            </w:pPr>
            <w:r w:rsidRPr="002B719F">
              <w:rPr>
                <w:rFonts w:asciiTheme="majorHAnsi" w:eastAsia="Times New Roman" w:hAnsiTheme="majorHAnsi" w:cs="Calibri"/>
                <w:b/>
                <w:bCs/>
                <w:color w:val="000000"/>
                <w:sz w:val="14"/>
                <w:szCs w:val="14"/>
                <w:lang w:eastAsia="pt-BR"/>
              </w:rPr>
              <w:t>55,00%</w:t>
            </w:r>
          </w:p>
        </w:tc>
        <w:tc>
          <w:tcPr>
            <w:tcW w:w="937" w:type="pct"/>
            <w:tcBorders>
              <w:top w:val="single" w:sz="8" w:space="0" w:color="auto"/>
              <w:left w:val="nil"/>
              <w:bottom w:val="single" w:sz="8" w:space="0" w:color="auto"/>
              <w:right w:val="single" w:sz="8" w:space="0" w:color="auto"/>
            </w:tcBorders>
            <w:shd w:val="clear" w:color="000000" w:fill="D9D9D9"/>
            <w:noWrap/>
            <w:vAlign w:val="center"/>
            <w:hideMark/>
          </w:tcPr>
          <w:p w:rsidR="002B719F" w:rsidRPr="002B719F" w:rsidRDefault="002B719F" w:rsidP="002B719F">
            <w:pPr>
              <w:spacing w:after="0" w:line="240" w:lineRule="auto"/>
              <w:jc w:val="center"/>
              <w:rPr>
                <w:rFonts w:asciiTheme="majorHAnsi" w:eastAsia="Times New Roman" w:hAnsiTheme="majorHAnsi" w:cs="Calibri"/>
                <w:b/>
                <w:bCs/>
                <w:color w:val="000000"/>
                <w:sz w:val="14"/>
                <w:szCs w:val="14"/>
                <w:lang w:eastAsia="pt-BR"/>
              </w:rPr>
            </w:pPr>
            <w:r w:rsidRPr="002B719F">
              <w:rPr>
                <w:rFonts w:asciiTheme="majorHAnsi" w:eastAsia="Times New Roman" w:hAnsiTheme="majorHAnsi" w:cs="Calibri"/>
                <w:b/>
                <w:bCs/>
                <w:color w:val="000000"/>
                <w:sz w:val="14"/>
                <w:szCs w:val="14"/>
                <w:lang w:eastAsia="pt-BR"/>
              </w:rPr>
              <w:t>175,00%</w:t>
            </w:r>
          </w:p>
        </w:tc>
      </w:tr>
      <w:tr w:rsidR="002B719F" w:rsidRPr="002B719F" w:rsidTr="002B719F">
        <w:trPr>
          <w:trHeight w:val="300"/>
        </w:trPr>
        <w:tc>
          <w:tcPr>
            <w:tcW w:w="463" w:type="pct"/>
            <w:vMerge w:val="restart"/>
            <w:tcBorders>
              <w:top w:val="nil"/>
              <w:left w:val="single" w:sz="8" w:space="0" w:color="auto"/>
              <w:bottom w:val="single" w:sz="8" w:space="0" w:color="000000"/>
              <w:right w:val="single" w:sz="8" w:space="0" w:color="auto"/>
            </w:tcBorders>
            <w:shd w:val="clear" w:color="000000" w:fill="D9D9D9"/>
            <w:vAlign w:val="center"/>
            <w:hideMark/>
          </w:tcPr>
          <w:p w:rsidR="002B719F" w:rsidRPr="002B719F" w:rsidRDefault="002B719F" w:rsidP="002B719F">
            <w:pPr>
              <w:spacing w:after="0" w:line="240" w:lineRule="auto"/>
              <w:jc w:val="center"/>
              <w:rPr>
                <w:rFonts w:asciiTheme="majorHAnsi" w:eastAsia="Times New Roman" w:hAnsiTheme="majorHAnsi" w:cs="Calibri"/>
                <w:b/>
                <w:bCs/>
                <w:color w:val="000000"/>
                <w:sz w:val="14"/>
                <w:szCs w:val="14"/>
                <w:lang w:eastAsia="pt-BR"/>
              </w:rPr>
            </w:pPr>
            <w:r w:rsidRPr="002B719F">
              <w:rPr>
                <w:rFonts w:asciiTheme="majorHAnsi" w:eastAsia="Times New Roman" w:hAnsiTheme="majorHAnsi" w:cs="Calibri"/>
                <w:b/>
                <w:bCs/>
                <w:color w:val="000000"/>
                <w:sz w:val="14"/>
                <w:szCs w:val="14"/>
                <w:lang w:eastAsia="pt-BR"/>
              </w:rPr>
              <w:t>Renda Variável</w:t>
            </w:r>
          </w:p>
        </w:tc>
        <w:tc>
          <w:tcPr>
            <w:tcW w:w="2664" w:type="pct"/>
            <w:tcBorders>
              <w:top w:val="nil"/>
              <w:left w:val="nil"/>
              <w:bottom w:val="single" w:sz="4" w:space="0" w:color="auto"/>
              <w:right w:val="single" w:sz="4" w:space="0" w:color="auto"/>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FI Ações Referenciados - Art. 8º, I</w:t>
            </w:r>
          </w:p>
        </w:tc>
        <w:tc>
          <w:tcPr>
            <w:tcW w:w="937" w:type="pct"/>
            <w:tcBorders>
              <w:top w:val="nil"/>
              <w:left w:val="nil"/>
              <w:bottom w:val="single" w:sz="4" w:space="0" w:color="auto"/>
              <w:right w:val="single" w:sz="4"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c>
          <w:tcPr>
            <w:tcW w:w="937" w:type="pct"/>
            <w:tcBorders>
              <w:top w:val="nil"/>
              <w:left w:val="nil"/>
              <w:bottom w:val="single" w:sz="4" w:space="0" w:color="auto"/>
              <w:right w:val="single" w:sz="8"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r>
      <w:tr w:rsidR="002B719F" w:rsidRPr="002B719F" w:rsidTr="002B719F">
        <w:trPr>
          <w:trHeight w:val="315"/>
        </w:trPr>
        <w:tc>
          <w:tcPr>
            <w:tcW w:w="463" w:type="pct"/>
            <w:vMerge/>
            <w:tcBorders>
              <w:top w:val="nil"/>
              <w:left w:val="single" w:sz="8" w:space="0" w:color="auto"/>
              <w:bottom w:val="single" w:sz="8" w:space="0" w:color="000000"/>
              <w:right w:val="single" w:sz="8" w:space="0" w:color="auto"/>
            </w:tcBorders>
            <w:vAlign w:val="center"/>
            <w:hideMark/>
          </w:tcPr>
          <w:p w:rsidR="002B719F" w:rsidRPr="002B719F" w:rsidRDefault="002B719F" w:rsidP="002B719F">
            <w:pPr>
              <w:spacing w:after="0" w:line="240" w:lineRule="auto"/>
              <w:rPr>
                <w:rFonts w:asciiTheme="majorHAnsi" w:eastAsia="Times New Roman" w:hAnsiTheme="majorHAnsi" w:cs="Calibri"/>
                <w:b/>
                <w:bCs/>
                <w:color w:val="000000"/>
                <w:sz w:val="14"/>
                <w:szCs w:val="14"/>
                <w:lang w:eastAsia="pt-BR"/>
              </w:rPr>
            </w:pPr>
          </w:p>
        </w:tc>
        <w:tc>
          <w:tcPr>
            <w:tcW w:w="2664" w:type="pct"/>
            <w:tcBorders>
              <w:top w:val="nil"/>
              <w:left w:val="nil"/>
              <w:bottom w:val="single" w:sz="4" w:space="0" w:color="auto"/>
              <w:right w:val="single" w:sz="4" w:space="0" w:color="auto"/>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FI de Índices Referenciados em Ações - Art. 8º, II</w:t>
            </w:r>
          </w:p>
        </w:tc>
        <w:tc>
          <w:tcPr>
            <w:tcW w:w="937" w:type="pct"/>
            <w:tcBorders>
              <w:top w:val="nil"/>
              <w:left w:val="nil"/>
              <w:bottom w:val="single" w:sz="4" w:space="0" w:color="auto"/>
              <w:right w:val="single" w:sz="4"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c>
          <w:tcPr>
            <w:tcW w:w="937" w:type="pct"/>
            <w:tcBorders>
              <w:top w:val="nil"/>
              <w:left w:val="nil"/>
              <w:bottom w:val="single" w:sz="4" w:space="0" w:color="auto"/>
              <w:right w:val="single" w:sz="8"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r>
      <w:tr w:rsidR="002B719F" w:rsidRPr="002B719F" w:rsidTr="002B719F">
        <w:trPr>
          <w:trHeight w:val="300"/>
        </w:trPr>
        <w:tc>
          <w:tcPr>
            <w:tcW w:w="463" w:type="pct"/>
            <w:vMerge/>
            <w:tcBorders>
              <w:top w:val="nil"/>
              <w:left w:val="single" w:sz="8" w:space="0" w:color="auto"/>
              <w:bottom w:val="single" w:sz="8" w:space="0" w:color="000000"/>
              <w:right w:val="single" w:sz="8" w:space="0" w:color="auto"/>
            </w:tcBorders>
            <w:vAlign w:val="center"/>
            <w:hideMark/>
          </w:tcPr>
          <w:p w:rsidR="002B719F" w:rsidRPr="002B719F" w:rsidRDefault="002B719F" w:rsidP="002B719F">
            <w:pPr>
              <w:spacing w:after="0" w:line="240" w:lineRule="auto"/>
              <w:rPr>
                <w:rFonts w:asciiTheme="majorHAnsi" w:eastAsia="Times New Roman" w:hAnsiTheme="majorHAnsi" w:cs="Calibri"/>
                <w:b/>
                <w:bCs/>
                <w:color w:val="000000"/>
                <w:sz w:val="14"/>
                <w:szCs w:val="14"/>
                <w:lang w:eastAsia="pt-BR"/>
              </w:rPr>
            </w:pPr>
          </w:p>
        </w:tc>
        <w:tc>
          <w:tcPr>
            <w:tcW w:w="2664" w:type="pct"/>
            <w:tcBorders>
              <w:top w:val="nil"/>
              <w:left w:val="nil"/>
              <w:bottom w:val="single" w:sz="4" w:space="0" w:color="auto"/>
              <w:right w:val="single" w:sz="4" w:space="0" w:color="auto"/>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FI em Ações - Art. 8º, III</w:t>
            </w:r>
          </w:p>
        </w:tc>
        <w:tc>
          <w:tcPr>
            <w:tcW w:w="937" w:type="pct"/>
            <w:tcBorders>
              <w:top w:val="nil"/>
              <w:left w:val="nil"/>
              <w:bottom w:val="single" w:sz="4" w:space="0" w:color="auto"/>
              <w:right w:val="single" w:sz="4"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5,00%</w:t>
            </w:r>
          </w:p>
        </w:tc>
        <w:tc>
          <w:tcPr>
            <w:tcW w:w="937" w:type="pct"/>
            <w:tcBorders>
              <w:top w:val="nil"/>
              <w:left w:val="nil"/>
              <w:bottom w:val="single" w:sz="4" w:space="0" w:color="auto"/>
              <w:right w:val="single" w:sz="8"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15,00%</w:t>
            </w:r>
          </w:p>
        </w:tc>
      </w:tr>
      <w:tr w:rsidR="002B719F" w:rsidRPr="002B719F" w:rsidTr="002B719F">
        <w:trPr>
          <w:trHeight w:val="300"/>
        </w:trPr>
        <w:tc>
          <w:tcPr>
            <w:tcW w:w="463" w:type="pct"/>
            <w:vMerge/>
            <w:tcBorders>
              <w:top w:val="nil"/>
              <w:left w:val="single" w:sz="8" w:space="0" w:color="auto"/>
              <w:bottom w:val="single" w:sz="8" w:space="0" w:color="000000"/>
              <w:right w:val="single" w:sz="8" w:space="0" w:color="auto"/>
            </w:tcBorders>
            <w:vAlign w:val="center"/>
            <w:hideMark/>
          </w:tcPr>
          <w:p w:rsidR="002B719F" w:rsidRPr="002B719F" w:rsidRDefault="002B719F" w:rsidP="002B719F">
            <w:pPr>
              <w:spacing w:after="0" w:line="240" w:lineRule="auto"/>
              <w:rPr>
                <w:rFonts w:asciiTheme="majorHAnsi" w:eastAsia="Times New Roman" w:hAnsiTheme="majorHAnsi" w:cs="Calibri"/>
                <w:b/>
                <w:bCs/>
                <w:color w:val="000000"/>
                <w:sz w:val="14"/>
                <w:szCs w:val="14"/>
                <w:lang w:eastAsia="pt-BR"/>
              </w:rPr>
            </w:pPr>
          </w:p>
        </w:tc>
        <w:tc>
          <w:tcPr>
            <w:tcW w:w="2664" w:type="pct"/>
            <w:tcBorders>
              <w:top w:val="nil"/>
              <w:left w:val="nil"/>
              <w:bottom w:val="single" w:sz="4" w:space="0" w:color="auto"/>
              <w:right w:val="single" w:sz="4" w:space="0" w:color="auto"/>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FI Multimercado - aberto - Art. 8º, IV</w:t>
            </w:r>
          </w:p>
        </w:tc>
        <w:tc>
          <w:tcPr>
            <w:tcW w:w="937" w:type="pct"/>
            <w:tcBorders>
              <w:top w:val="nil"/>
              <w:left w:val="nil"/>
              <w:bottom w:val="single" w:sz="4" w:space="0" w:color="auto"/>
              <w:right w:val="single" w:sz="4"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2,00%</w:t>
            </w:r>
          </w:p>
        </w:tc>
        <w:tc>
          <w:tcPr>
            <w:tcW w:w="937" w:type="pct"/>
            <w:tcBorders>
              <w:top w:val="nil"/>
              <w:left w:val="nil"/>
              <w:bottom w:val="single" w:sz="4" w:space="0" w:color="auto"/>
              <w:right w:val="single" w:sz="8"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5,00%</w:t>
            </w:r>
          </w:p>
        </w:tc>
      </w:tr>
      <w:tr w:rsidR="002B719F" w:rsidRPr="002B719F" w:rsidTr="002B719F">
        <w:trPr>
          <w:trHeight w:val="300"/>
        </w:trPr>
        <w:tc>
          <w:tcPr>
            <w:tcW w:w="463" w:type="pct"/>
            <w:vMerge/>
            <w:tcBorders>
              <w:top w:val="nil"/>
              <w:left w:val="single" w:sz="8" w:space="0" w:color="auto"/>
              <w:bottom w:val="single" w:sz="8" w:space="0" w:color="000000"/>
              <w:right w:val="single" w:sz="8" w:space="0" w:color="auto"/>
            </w:tcBorders>
            <w:vAlign w:val="center"/>
            <w:hideMark/>
          </w:tcPr>
          <w:p w:rsidR="002B719F" w:rsidRPr="002B719F" w:rsidRDefault="002B719F" w:rsidP="002B719F">
            <w:pPr>
              <w:spacing w:after="0" w:line="240" w:lineRule="auto"/>
              <w:rPr>
                <w:rFonts w:asciiTheme="majorHAnsi" w:eastAsia="Times New Roman" w:hAnsiTheme="majorHAnsi" w:cs="Calibri"/>
                <w:b/>
                <w:bCs/>
                <w:color w:val="000000"/>
                <w:sz w:val="14"/>
                <w:szCs w:val="14"/>
                <w:lang w:eastAsia="pt-BR"/>
              </w:rPr>
            </w:pPr>
          </w:p>
        </w:tc>
        <w:tc>
          <w:tcPr>
            <w:tcW w:w="2664" w:type="pct"/>
            <w:tcBorders>
              <w:top w:val="nil"/>
              <w:left w:val="nil"/>
              <w:bottom w:val="single" w:sz="4" w:space="0" w:color="auto"/>
              <w:right w:val="single" w:sz="4" w:space="0" w:color="auto"/>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FI em Participações - fechado - Art. 8º, V</w:t>
            </w:r>
          </w:p>
        </w:tc>
        <w:tc>
          <w:tcPr>
            <w:tcW w:w="937" w:type="pct"/>
            <w:tcBorders>
              <w:top w:val="nil"/>
              <w:left w:val="nil"/>
              <w:bottom w:val="single" w:sz="4" w:space="0" w:color="auto"/>
              <w:right w:val="single" w:sz="4"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c>
          <w:tcPr>
            <w:tcW w:w="937" w:type="pct"/>
            <w:tcBorders>
              <w:top w:val="nil"/>
              <w:left w:val="nil"/>
              <w:bottom w:val="single" w:sz="4" w:space="0" w:color="auto"/>
              <w:right w:val="single" w:sz="8"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r>
      <w:tr w:rsidR="002B719F" w:rsidRPr="002B719F" w:rsidTr="002B719F">
        <w:trPr>
          <w:trHeight w:val="315"/>
        </w:trPr>
        <w:tc>
          <w:tcPr>
            <w:tcW w:w="463" w:type="pct"/>
            <w:vMerge/>
            <w:tcBorders>
              <w:top w:val="nil"/>
              <w:left w:val="single" w:sz="8" w:space="0" w:color="auto"/>
              <w:bottom w:val="single" w:sz="8" w:space="0" w:color="000000"/>
              <w:right w:val="single" w:sz="8" w:space="0" w:color="auto"/>
            </w:tcBorders>
            <w:vAlign w:val="center"/>
            <w:hideMark/>
          </w:tcPr>
          <w:p w:rsidR="002B719F" w:rsidRPr="002B719F" w:rsidRDefault="002B719F" w:rsidP="002B719F">
            <w:pPr>
              <w:spacing w:after="0" w:line="240" w:lineRule="auto"/>
              <w:rPr>
                <w:rFonts w:asciiTheme="majorHAnsi" w:eastAsia="Times New Roman" w:hAnsiTheme="majorHAnsi" w:cs="Calibri"/>
                <w:b/>
                <w:bCs/>
                <w:color w:val="000000"/>
                <w:sz w:val="14"/>
                <w:szCs w:val="14"/>
                <w:lang w:eastAsia="pt-BR"/>
              </w:rPr>
            </w:pPr>
          </w:p>
        </w:tc>
        <w:tc>
          <w:tcPr>
            <w:tcW w:w="2664" w:type="pct"/>
            <w:tcBorders>
              <w:top w:val="nil"/>
              <w:left w:val="nil"/>
              <w:bottom w:val="nil"/>
              <w:right w:val="single" w:sz="4" w:space="0" w:color="auto"/>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FI Imobiliário - cotas negociadas em bolsa - Art. 8º, VI</w:t>
            </w:r>
          </w:p>
        </w:tc>
        <w:tc>
          <w:tcPr>
            <w:tcW w:w="937" w:type="pct"/>
            <w:tcBorders>
              <w:top w:val="nil"/>
              <w:left w:val="nil"/>
              <w:bottom w:val="nil"/>
              <w:right w:val="single" w:sz="4"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c>
          <w:tcPr>
            <w:tcW w:w="937" w:type="pct"/>
            <w:tcBorders>
              <w:top w:val="nil"/>
              <w:left w:val="nil"/>
              <w:bottom w:val="nil"/>
              <w:right w:val="single" w:sz="8" w:space="0" w:color="auto"/>
            </w:tcBorders>
            <w:shd w:val="clear" w:color="000000" w:fill="F2F2F2"/>
            <w:noWrap/>
            <w:vAlign w:val="center"/>
            <w:hideMark/>
          </w:tcPr>
          <w:p w:rsidR="002B719F" w:rsidRPr="002B719F" w:rsidRDefault="002B719F" w:rsidP="002B719F">
            <w:pPr>
              <w:spacing w:after="0" w:line="240" w:lineRule="auto"/>
              <w:jc w:val="center"/>
              <w:rPr>
                <w:rFonts w:asciiTheme="majorHAnsi" w:eastAsia="Times New Roman" w:hAnsiTheme="majorHAnsi" w:cs="Calibri"/>
                <w:color w:val="000000"/>
                <w:sz w:val="14"/>
                <w:szCs w:val="14"/>
                <w:lang w:eastAsia="pt-BR"/>
              </w:rPr>
            </w:pPr>
            <w:r w:rsidRPr="002B719F">
              <w:rPr>
                <w:rFonts w:asciiTheme="majorHAnsi" w:eastAsia="Times New Roman" w:hAnsiTheme="majorHAnsi" w:cs="Calibri"/>
                <w:color w:val="000000"/>
                <w:sz w:val="14"/>
                <w:szCs w:val="14"/>
                <w:lang w:eastAsia="pt-BR"/>
              </w:rPr>
              <w:t>0,00%</w:t>
            </w:r>
          </w:p>
        </w:tc>
      </w:tr>
      <w:tr w:rsidR="002B719F" w:rsidRPr="002B719F" w:rsidTr="002B719F">
        <w:trPr>
          <w:trHeight w:val="315"/>
        </w:trPr>
        <w:tc>
          <w:tcPr>
            <w:tcW w:w="463" w:type="pct"/>
            <w:vMerge/>
            <w:tcBorders>
              <w:top w:val="nil"/>
              <w:left w:val="single" w:sz="8" w:space="0" w:color="auto"/>
              <w:bottom w:val="single" w:sz="8" w:space="0" w:color="000000"/>
              <w:right w:val="single" w:sz="8" w:space="0" w:color="auto"/>
            </w:tcBorders>
            <w:vAlign w:val="center"/>
            <w:hideMark/>
          </w:tcPr>
          <w:p w:rsidR="002B719F" w:rsidRPr="002B719F" w:rsidRDefault="002B719F" w:rsidP="002B719F">
            <w:pPr>
              <w:spacing w:after="0" w:line="240" w:lineRule="auto"/>
              <w:rPr>
                <w:rFonts w:asciiTheme="majorHAnsi" w:eastAsia="Times New Roman" w:hAnsiTheme="majorHAnsi" w:cs="Calibri"/>
                <w:b/>
                <w:bCs/>
                <w:color w:val="000000"/>
                <w:sz w:val="14"/>
                <w:szCs w:val="14"/>
                <w:lang w:eastAsia="pt-BR"/>
              </w:rPr>
            </w:pPr>
          </w:p>
        </w:tc>
        <w:tc>
          <w:tcPr>
            <w:tcW w:w="2664" w:type="pct"/>
            <w:tcBorders>
              <w:top w:val="single" w:sz="8" w:space="0" w:color="auto"/>
              <w:left w:val="nil"/>
              <w:bottom w:val="single" w:sz="8" w:space="0" w:color="auto"/>
              <w:right w:val="single" w:sz="4" w:space="0" w:color="auto"/>
            </w:tcBorders>
            <w:shd w:val="clear" w:color="000000" w:fill="D9D9D9"/>
            <w:noWrap/>
            <w:vAlign w:val="center"/>
            <w:hideMark/>
          </w:tcPr>
          <w:p w:rsidR="002B719F" w:rsidRPr="002B719F" w:rsidRDefault="002B719F" w:rsidP="002B719F">
            <w:pPr>
              <w:spacing w:after="0" w:line="240" w:lineRule="auto"/>
              <w:jc w:val="center"/>
              <w:rPr>
                <w:rFonts w:asciiTheme="majorHAnsi" w:eastAsia="Times New Roman" w:hAnsiTheme="majorHAnsi" w:cs="Calibri"/>
                <w:b/>
                <w:bCs/>
                <w:color w:val="000000"/>
                <w:sz w:val="14"/>
                <w:szCs w:val="14"/>
                <w:lang w:eastAsia="pt-BR"/>
              </w:rPr>
            </w:pPr>
            <w:r w:rsidRPr="002B719F">
              <w:rPr>
                <w:rFonts w:asciiTheme="majorHAnsi" w:eastAsia="Times New Roman" w:hAnsiTheme="majorHAnsi" w:cs="Calibri"/>
                <w:b/>
                <w:bCs/>
                <w:color w:val="000000"/>
                <w:sz w:val="14"/>
                <w:szCs w:val="14"/>
                <w:lang w:eastAsia="pt-BR"/>
              </w:rPr>
              <w:t>Subtotal</w:t>
            </w:r>
          </w:p>
        </w:tc>
        <w:tc>
          <w:tcPr>
            <w:tcW w:w="93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2B719F" w:rsidRPr="002B719F" w:rsidRDefault="002B719F" w:rsidP="002B719F">
            <w:pPr>
              <w:spacing w:after="0" w:line="240" w:lineRule="auto"/>
              <w:jc w:val="center"/>
              <w:rPr>
                <w:rFonts w:asciiTheme="majorHAnsi" w:eastAsia="Times New Roman" w:hAnsiTheme="majorHAnsi" w:cs="Calibri"/>
                <w:b/>
                <w:bCs/>
                <w:color w:val="000000"/>
                <w:sz w:val="14"/>
                <w:szCs w:val="14"/>
                <w:lang w:eastAsia="pt-BR"/>
              </w:rPr>
            </w:pPr>
            <w:r w:rsidRPr="002B719F">
              <w:rPr>
                <w:rFonts w:asciiTheme="majorHAnsi" w:eastAsia="Times New Roman" w:hAnsiTheme="majorHAnsi" w:cs="Calibri"/>
                <w:b/>
                <w:bCs/>
                <w:color w:val="000000"/>
                <w:sz w:val="14"/>
                <w:szCs w:val="14"/>
                <w:lang w:eastAsia="pt-BR"/>
              </w:rPr>
              <w:t>7,00%</w:t>
            </w:r>
          </w:p>
        </w:tc>
        <w:tc>
          <w:tcPr>
            <w:tcW w:w="937" w:type="pct"/>
            <w:tcBorders>
              <w:top w:val="single" w:sz="8" w:space="0" w:color="auto"/>
              <w:left w:val="nil"/>
              <w:bottom w:val="single" w:sz="8" w:space="0" w:color="auto"/>
              <w:right w:val="single" w:sz="8" w:space="0" w:color="auto"/>
            </w:tcBorders>
            <w:shd w:val="clear" w:color="000000" w:fill="D9D9D9"/>
            <w:noWrap/>
            <w:vAlign w:val="center"/>
            <w:hideMark/>
          </w:tcPr>
          <w:p w:rsidR="002B719F" w:rsidRPr="002B719F" w:rsidRDefault="002B719F" w:rsidP="002B719F">
            <w:pPr>
              <w:spacing w:after="0" w:line="240" w:lineRule="auto"/>
              <w:jc w:val="center"/>
              <w:rPr>
                <w:rFonts w:asciiTheme="majorHAnsi" w:eastAsia="Times New Roman" w:hAnsiTheme="majorHAnsi" w:cs="Calibri"/>
                <w:b/>
                <w:bCs/>
                <w:color w:val="000000"/>
                <w:sz w:val="14"/>
                <w:szCs w:val="14"/>
                <w:lang w:eastAsia="pt-BR"/>
              </w:rPr>
            </w:pPr>
            <w:r w:rsidRPr="002B719F">
              <w:rPr>
                <w:rFonts w:asciiTheme="majorHAnsi" w:eastAsia="Times New Roman" w:hAnsiTheme="majorHAnsi" w:cs="Calibri"/>
                <w:b/>
                <w:bCs/>
                <w:color w:val="000000"/>
                <w:sz w:val="14"/>
                <w:szCs w:val="14"/>
                <w:lang w:eastAsia="pt-BR"/>
              </w:rPr>
              <w:t>20,00%</w:t>
            </w:r>
          </w:p>
        </w:tc>
      </w:tr>
      <w:tr w:rsidR="002B719F" w:rsidRPr="002B719F" w:rsidTr="002B719F">
        <w:trPr>
          <w:trHeight w:val="315"/>
        </w:trPr>
        <w:tc>
          <w:tcPr>
            <w:tcW w:w="463" w:type="pct"/>
            <w:tcBorders>
              <w:top w:val="nil"/>
              <w:left w:val="nil"/>
              <w:bottom w:val="nil"/>
              <w:right w:val="nil"/>
            </w:tcBorders>
            <w:shd w:val="clear" w:color="auto" w:fill="auto"/>
            <w:noWrap/>
            <w:vAlign w:val="bottom"/>
            <w:hideMark/>
          </w:tcPr>
          <w:p w:rsidR="002B719F" w:rsidRPr="002B719F" w:rsidRDefault="002B719F" w:rsidP="002B719F">
            <w:pPr>
              <w:spacing w:after="0" w:line="240" w:lineRule="auto"/>
              <w:rPr>
                <w:rFonts w:asciiTheme="majorHAnsi" w:eastAsia="Times New Roman" w:hAnsiTheme="majorHAnsi" w:cs="Calibri"/>
                <w:b/>
                <w:bCs/>
                <w:color w:val="000000"/>
                <w:sz w:val="14"/>
                <w:szCs w:val="14"/>
                <w:lang w:eastAsia="pt-BR"/>
              </w:rPr>
            </w:pPr>
          </w:p>
        </w:tc>
        <w:tc>
          <w:tcPr>
            <w:tcW w:w="2664" w:type="pct"/>
            <w:tcBorders>
              <w:top w:val="nil"/>
              <w:left w:val="single" w:sz="8" w:space="0" w:color="auto"/>
              <w:bottom w:val="single" w:sz="8" w:space="0" w:color="auto"/>
              <w:right w:val="single" w:sz="4" w:space="0" w:color="auto"/>
            </w:tcBorders>
            <w:shd w:val="clear" w:color="000000" w:fill="A6A6A6"/>
            <w:noWrap/>
            <w:vAlign w:val="center"/>
            <w:hideMark/>
          </w:tcPr>
          <w:p w:rsidR="002B719F" w:rsidRPr="002B719F" w:rsidRDefault="002B719F" w:rsidP="002B719F">
            <w:pPr>
              <w:spacing w:after="0" w:line="240" w:lineRule="auto"/>
              <w:jc w:val="center"/>
              <w:rPr>
                <w:rFonts w:asciiTheme="majorHAnsi" w:eastAsia="Times New Roman" w:hAnsiTheme="majorHAnsi" w:cs="Calibri"/>
                <w:b/>
                <w:bCs/>
                <w:color w:val="000000"/>
                <w:sz w:val="14"/>
                <w:szCs w:val="14"/>
                <w:lang w:eastAsia="pt-BR"/>
              </w:rPr>
            </w:pPr>
            <w:r w:rsidRPr="002B719F">
              <w:rPr>
                <w:rFonts w:asciiTheme="majorHAnsi" w:eastAsia="Times New Roman" w:hAnsiTheme="majorHAnsi" w:cs="Calibri"/>
                <w:b/>
                <w:bCs/>
                <w:color w:val="000000"/>
                <w:sz w:val="14"/>
                <w:szCs w:val="14"/>
                <w:lang w:eastAsia="pt-BR"/>
              </w:rPr>
              <w:t>Total Geral</w:t>
            </w:r>
          </w:p>
        </w:tc>
        <w:tc>
          <w:tcPr>
            <w:tcW w:w="937" w:type="pct"/>
            <w:tcBorders>
              <w:top w:val="nil"/>
              <w:left w:val="single" w:sz="8" w:space="0" w:color="auto"/>
              <w:bottom w:val="single" w:sz="8" w:space="0" w:color="auto"/>
              <w:right w:val="single" w:sz="4" w:space="0" w:color="auto"/>
            </w:tcBorders>
            <w:shd w:val="clear" w:color="000000" w:fill="A6A6A6"/>
            <w:noWrap/>
            <w:vAlign w:val="center"/>
            <w:hideMark/>
          </w:tcPr>
          <w:p w:rsidR="002B719F" w:rsidRPr="002B719F" w:rsidRDefault="002B719F" w:rsidP="002B719F">
            <w:pPr>
              <w:spacing w:after="0" w:line="240" w:lineRule="auto"/>
              <w:jc w:val="center"/>
              <w:rPr>
                <w:rFonts w:asciiTheme="majorHAnsi" w:eastAsia="Times New Roman" w:hAnsiTheme="majorHAnsi" w:cs="Calibri"/>
                <w:b/>
                <w:bCs/>
                <w:color w:val="000000"/>
                <w:sz w:val="14"/>
                <w:szCs w:val="14"/>
                <w:lang w:eastAsia="pt-BR"/>
              </w:rPr>
            </w:pPr>
            <w:r w:rsidRPr="002B719F">
              <w:rPr>
                <w:rFonts w:asciiTheme="majorHAnsi" w:eastAsia="Times New Roman" w:hAnsiTheme="majorHAnsi" w:cs="Calibri"/>
                <w:b/>
                <w:bCs/>
                <w:color w:val="000000"/>
                <w:sz w:val="14"/>
                <w:szCs w:val="14"/>
                <w:lang w:eastAsia="pt-BR"/>
              </w:rPr>
              <w:t>62,00%</w:t>
            </w:r>
          </w:p>
        </w:tc>
        <w:tc>
          <w:tcPr>
            <w:tcW w:w="937" w:type="pct"/>
            <w:tcBorders>
              <w:top w:val="nil"/>
              <w:left w:val="nil"/>
              <w:bottom w:val="single" w:sz="8" w:space="0" w:color="auto"/>
              <w:right w:val="single" w:sz="8" w:space="0" w:color="auto"/>
            </w:tcBorders>
            <w:shd w:val="clear" w:color="000000" w:fill="A6A6A6"/>
            <w:noWrap/>
            <w:vAlign w:val="center"/>
            <w:hideMark/>
          </w:tcPr>
          <w:p w:rsidR="002B719F" w:rsidRPr="002B719F" w:rsidRDefault="002B719F" w:rsidP="002B719F">
            <w:pPr>
              <w:spacing w:after="0" w:line="240" w:lineRule="auto"/>
              <w:jc w:val="center"/>
              <w:rPr>
                <w:rFonts w:asciiTheme="majorHAnsi" w:eastAsia="Times New Roman" w:hAnsiTheme="majorHAnsi" w:cs="Calibri"/>
                <w:b/>
                <w:bCs/>
                <w:color w:val="000000"/>
                <w:sz w:val="14"/>
                <w:szCs w:val="14"/>
                <w:lang w:eastAsia="pt-BR"/>
              </w:rPr>
            </w:pPr>
            <w:r w:rsidRPr="002B719F">
              <w:rPr>
                <w:rFonts w:asciiTheme="majorHAnsi" w:eastAsia="Times New Roman" w:hAnsiTheme="majorHAnsi" w:cs="Calibri"/>
                <w:b/>
                <w:bCs/>
                <w:color w:val="000000"/>
                <w:sz w:val="14"/>
                <w:szCs w:val="14"/>
                <w:lang w:eastAsia="pt-BR"/>
              </w:rPr>
              <w:t>195,00%</w:t>
            </w:r>
          </w:p>
        </w:tc>
      </w:tr>
    </w:tbl>
    <w:p w:rsidR="00D567EB" w:rsidRDefault="00D567EB"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 xml:space="preserve">O </w:t>
      </w:r>
      <w:r w:rsidR="002B719F" w:rsidRPr="002B719F">
        <w:rPr>
          <w:rFonts w:asciiTheme="majorHAnsi" w:hAnsiTheme="majorHAnsi"/>
          <w:bCs/>
          <w:color w:val="7F7F7F" w:themeColor="text1" w:themeTint="80"/>
          <w:sz w:val="20"/>
          <w:szCs w:val="20"/>
        </w:rPr>
        <w:t>INSTITUTO DE PREVIDÊNCIA DO SERVIDOR MUNICIPAL DE TAQUARITINGA</w:t>
      </w:r>
      <w:r w:rsidR="002B719F" w:rsidRPr="001A464C">
        <w:rPr>
          <w:rFonts w:asciiTheme="majorHAnsi" w:hAnsiTheme="majorHAnsi"/>
          <w:bCs/>
          <w:color w:val="7F7F7F" w:themeColor="text1" w:themeTint="80"/>
          <w:sz w:val="20"/>
          <w:szCs w:val="20"/>
        </w:rPr>
        <w:t xml:space="preserve"> </w:t>
      </w:r>
      <w:r w:rsidRPr="001A464C">
        <w:rPr>
          <w:rFonts w:asciiTheme="majorHAnsi" w:hAnsiTheme="majorHAnsi"/>
          <w:bCs/>
          <w:color w:val="7F7F7F" w:themeColor="text1" w:themeTint="80"/>
          <w:sz w:val="20"/>
          <w:szCs w:val="20"/>
        </w:rPr>
        <w:t xml:space="preserve">considera os </w:t>
      </w:r>
      <w:r w:rsidR="00EC6BB5" w:rsidRPr="001A464C">
        <w:rPr>
          <w:rFonts w:asciiTheme="majorHAnsi" w:hAnsiTheme="majorHAnsi"/>
          <w:bCs/>
          <w:color w:val="7F7F7F" w:themeColor="text1" w:themeTint="80"/>
          <w:sz w:val="20"/>
          <w:szCs w:val="20"/>
        </w:rPr>
        <w:t xml:space="preserve">limites </w:t>
      </w:r>
      <w:r w:rsidRPr="001A464C">
        <w:rPr>
          <w:rFonts w:asciiTheme="majorHAnsi" w:hAnsiTheme="majorHAnsi"/>
          <w:bCs/>
          <w:color w:val="7F7F7F" w:themeColor="text1" w:themeTint="80"/>
          <w:sz w:val="20"/>
          <w:szCs w:val="20"/>
        </w:rPr>
        <w:t xml:space="preserve">apresentados </w:t>
      </w:r>
      <w:r w:rsidR="00EC6BB5" w:rsidRPr="001A464C">
        <w:rPr>
          <w:rFonts w:asciiTheme="majorHAnsi" w:hAnsiTheme="majorHAnsi"/>
          <w:bCs/>
          <w:color w:val="7F7F7F" w:themeColor="text1" w:themeTint="80"/>
          <w:sz w:val="20"/>
          <w:szCs w:val="20"/>
        </w:rPr>
        <w:t xml:space="preserve">o resultado da análise feita </w:t>
      </w:r>
      <w:r w:rsidRPr="001A464C">
        <w:rPr>
          <w:rFonts w:asciiTheme="majorHAnsi" w:hAnsiTheme="majorHAnsi"/>
          <w:bCs/>
          <w:color w:val="7F7F7F" w:themeColor="text1" w:themeTint="80"/>
          <w:sz w:val="20"/>
          <w:szCs w:val="20"/>
        </w:rPr>
        <w:t>através das reservas técnicas atuariais (ativos) e as reservas matemáticas (passivo) projetadas pelo cálculo atuarial o que pode exigir maior flexibilidade no</w:t>
      </w:r>
      <w:r w:rsidR="00EC6BB5" w:rsidRPr="001A464C">
        <w:rPr>
          <w:rFonts w:asciiTheme="majorHAnsi" w:hAnsiTheme="majorHAnsi"/>
          <w:bCs/>
          <w:color w:val="7F7F7F" w:themeColor="text1" w:themeTint="80"/>
          <w:sz w:val="20"/>
          <w:szCs w:val="20"/>
        </w:rPr>
        <w:t>s níveis de liquidez da carteira</w:t>
      </w:r>
      <w:r w:rsidRPr="001A464C">
        <w:rPr>
          <w:rFonts w:asciiTheme="majorHAnsi" w:hAnsiTheme="majorHAnsi"/>
          <w:bCs/>
          <w:color w:val="7F7F7F" w:themeColor="text1" w:themeTint="80"/>
          <w:sz w:val="20"/>
          <w:szCs w:val="20"/>
        </w:rPr>
        <w:t>.</w:t>
      </w:r>
    </w:p>
    <w:p w:rsidR="00CB1E8E" w:rsidRPr="00C7281C" w:rsidRDefault="00CB1E8E" w:rsidP="001A464C">
      <w:pPr>
        <w:pStyle w:val="Ttulo2"/>
        <w:numPr>
          <w:ilvl w:val="1"/>
          <w:numId w:val="6"/>
        </w:numPr>
        <w:spacing w:beforeLines="120" w:before="288" w:line="240" w:lineRule="auto"/>
        <w:ind w:left="0" w:firstLine="0"/>
        <w:jc w:val="both"/>
        <w:rPr>
          <w:color w:val="ED7D31"/>
          <w:sz w:val="20"/>
          <w:szCs w:val="20"/>
        </w:rPr>
      </w:pPr>
      <w:bookmarkStart w:id="13" w:name="_Toc435202742"/>
      <w:bookmarkStart w:id="14" w:name="_Toc467598723"/>
      <w:r w:rsidRPr="00C7281C">
        <w:rPr>
          <w:color w:val="ED7D31"/>
          <w:sz w:val="20"/>
          <w:szCs w:val="20"/>
        </w:rPr>
        <w:t>SEGMENTO DE RENDA FIXA</w:t>
      </w:r>
      <w:bookmarkEnd w:id="13"/>
      <w:bookmarkEnd w:id="14"/>
    </w:p>
    <w:p w:rsidR="00CB1E8E" w:rsidRPr="001A464C" w:rsidRDefault="0041546A" w:rsidP="001A464C">
      <w:pPr>
        <w:spacing w:beforeLines="120" w:before="288" w:after="0" w:line="240" w:lineRule="auto"/>
        <w:jc w:val="both"/>
        <w:rPr>
          <w:rFonts w:asciiTheme="majorHAnsi" w:hAnsiTheme="majorHAnsi"/>
          <w:b/>
          <w:bCs/>
          <w:color w:val="7F7F7F" w:themeColor="text1" w:themeTint="80"/>
          <w:sz w:val="20"/>
          <w:szCs w:val="20"/>
        </w:rPr>
      </w:pPr>
      <w:r w:rsidRPr="001A464C">
        <w:rPr>
          <w:rFonts w:asciiTheme="majorHAnsi" w:hAnsiTheme="majorHAnsi"/>
          <w:bCs/>
          <w:color w:val="7F7F7F" w:themeColor="text1" w:themeTint="80"/>
          <w:sz w:val="20"/>
          <w:szCs w:val="20"/>
        </w:rPr>
        <w:t xml:space="preserve">Obedecendo-se os limites permitidos pela Resolução CMN n° 3922/2010, propõe-se adotar o, </w:t>
      </w:r>
      <w:r w:rsidR="00BB3C0F">
        <w:rPr>
          <w:rFonts w:asciiTheme="majorHAnsi" w:hAnsiTheme="majorHAnsi"/>
          <w:b/>
          <w:bCs/>
          <w:color w:val="7F7F7F" w:themeColor="text1" w:themeTint="80"/>
          <w:sz w:val="20"/>
          <w:szCs w:val="20"/>
        </w:rPr>
        <w:t xml:space="preserve">limite de </w:t>
      </w:r>
      <w:r w:rsidR="00CB1E8E" w:rsidRPr="001A464C">
        <w:rPr>
          <w:rFonts w:asciiTheme="majorHAnsi" w:hAnsiTheme="majorHAnsi"/>
          <w:b/>
          <w:bCs/>
          <w:color w:val="7F7F7F" w:themeColor="text1" w:themeTint="80"/>
          <w:sz w:val="20"/>
          <w:szCs w:val="20"/>
        </w:rPr>
        <w:t xml:space="preserve">no máximo </w:t>
      </w:r>
      <w:r w:rsidR="00904D58">
        <w:rPr>
          <w:rFonts w:asciiTheme="majorHAnsi" w:hAnsiTheme="majorHAnsi"/>
          <w:b/>
          <w:bCs/>
          <w:color w:val="7F7F7F" w:themeColor="text1" w:themeTint="80"/>
          <w:sz w:val="20"/>
          <w:szCs w:val="20"/>
        </w:rPr>
        <w:t>93</w:t>
      </w:r>
      <w:r w:rsidRPr="001A464C">
        <w:rPr>
          <w:rFonts w:asciiTheme="majorHAnsi" w:hAnsiTheme="majorHAnsi"/>
          <w:b/>
          <w:bCs/>
          <w:color w:val="7F7F7F" w:themeColor="text1" w:themeTint="80"/>
          <w:sz w:val="20"/>
          <w:szCs w:val="20"/>
        </w:rPr>
        <w:t>% (</w:t>
      </w:r>
      <w:r w:rsidR="00904D58">
        <w:rPr>
          <w:rFonts w:asciiTheme="majorHAnsi" w:hAnsiTheme="majorHAnsi"/>
          <w:b/>
          <w:bCs/>
          <w:color w:val="7F7F7F" w:themeColor="text1" w:themeTint="80"/>
          <w:sz w:val="20"/>
          <w:szCs w:val="20"/>
        </w:rPr>
        <w:t>noventa e três</w:t>
      </w:r>
      <w:r w:rsidR="00CB1E8E" w:rsidRPr="001A464C">
        <w:rPr>
          <w:rFonts w:asciiTheme="majorHAnsi" w:hAnsiTheme="majorHAnsi"/>
          <w:b/>
          <w:bCs/>
          <w:color w:val="7F7F7F" w:themeColor="text1" w:themeTint="80"/>
          <w:sz w:val="20"/>
          <w:szCs w:val="20"/>
        </w:rPr>
        <w:t xml:space="preserve"> por cento) dos investimentos financeiros do RPPS, no segmento de renda fixa.</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lastRenderedPageBreak/>
        <w:t>A negociação de títulos e valores mobiliários no mercado secundário (compra/venda de títulos públicos) obedecerá ao disposto, Art. 7º, inciso “a” da Resolução CMN n° 3.922/2010, e deverão ser comercializados através de plataforma eletrônica e registrados no Sistema Especial de Liquidação e de Custódia (SELIC), não sendo permitidas compras de títulos com pagamento de Cupom com taxa inferior à Meta Atuarial.</w:t>
      </w:r>
    </w:p>
    <w:p w:rsidR="00CB1E8E" w:rsidRPr="00C7281C" w:rsidRDefault="00CB1E8E" w:rsidP="001A464C">
      <w:pPr>
        <w:pStyle w:val="Ttulo2"/>
        <w:numPr>
          <w:ilvl w:val="1"/>
          <w:numId w:val="6"/>
        </w:numPr>
        <w:spacing w:beforeLines="120" w:before="288" w:line="240" w:lineRule="auto"/>
        <w:ind w:left="0" w:firstLine="0"/>
        <w:jc w:val="both"/>
        <w:rPr>
          <w:color w:val="ED7D31"/>
          <w:sz w:val="20"/>
          <w:szCs w:val="20"/>
        </w:rPr>
      </w:pPr>
      <w:bookmarkStart w:id="15" w:name="_Toc435202743"/>
      <w:bookmarkStart w:id="16" w:name="_Toc467598724"/>
      <w:r w:rsidRPr="00C7281C">
        <w:rPr>
          <w:color w:val="ED7D31"/>
          <w:sz w:val="20"/>
          <w:szCs w:val="20"/>
        </w:rPr>
        <w:t>SEGMENTO DE RENDA VARIÁVEL</w:t>
      </w:r>
      <w:bookmarkEnd w:id="15"/>
      <w:bookmarkEnd w:id="16"/>
    </w:p>
    <w:p w:rsidR="00CB1E8E" w:rsidRPr="001A464C" w:rsidRDefault="00CB1E8E" w:rsidP="001A464C">
      <w:pPr>
        <w:spacing w:beforeLines="120" w:before="288" w:after="0" w:line="240" w:lineRule="auto"/>
        <w:jc w:val="both"/>
        <w:rPr>
          <w:rFonts w:asciiTheme="majorHAnsi" w:hAnsiTheme="majorHAnsi"/>
          <w:b/>
          <w:bCs/>
          <w:color w:val="7F7F7F" w:themeColor="text1" w:themeTint="80"/>
          <w:sz w:val="20"/>
          <w:szCs w:val="20"/>
        </w:rPr>
      </w:pPr>
      <w:r w:rsidRPr="001A464C">
        <w:rPr>
          <w:rFonts w:asciiTheme="majorHAnsi" w:hAnsiTheme="majorHAnsi"/>
          <w:bCs/>
          <w:color w:val="7F7F7F" w:themeColor="text1" w:themeTint="80"/>
          <w:sz w:val="20"/>
          <w:szCs w:val="20"/>
        </w:rPr>
        <w:t xml:space="preserve">Em relação ao segmento de renda variável, cuja limitação legal estabelece que os recursos alocados nos investimentos, cumulativamente, não deverão exceder a 30% (trinta por cento) da totalidade dos recursos em moeda corrente do RPPS, </w:t>
      </w:r>
      <w:r w:rsidRPr="001A464C">
        <w:rPr>
          <w:rFonts w:asciiTheme="majorHAnsi" w:hAnsiTheme="majorHAnsi"/>
          <w:b/>
          <w:bCs/>
          <w:color w:val="7F7F7F" w:themeColor="text1" w:themeTint="80"/>
          <w:sz w:val="20"/>
          <w:szCs w:val="20"/>
        </w:rPr>
        <w:t>limitar-se-ão a</w:t>
      </w:r>
      <w:r w:rsidR="0041546A" w:rsidRPr="001A464C">
        <w:rPr>
          <w:rFonts w:asciiTheme="majorHAnsi" w:hAnsiTheme="majorHAnsi"/>
          <w:bCs/>
          <w:color w:val="7F7F7F" w:themeColor="text1" w:themeTint="80"/>
          <w:sz w:val="20"/>
          <w:szCs w:val="20"/>
        </w:rPr>
        <w:t xml:space="preserve"> </w:t>
      </w:r>
      <w:r w:rsidR="00904D58">
        <w:rPr>
          <w:rFonts w:asciiTheme="majorHAnsi" w:hAnsiTheme="majorHAnsi"/>
          <w:b/>
          <w:bCs/>
          <w:color w:val="7F7F7F" w:themeColor="text1" w:themeTint="80"/>
          <w:sz w:val="20"/>
          <w:szCs w:val="20"/>
        </w:rPr>
        <w:t>20</w:t>
      </w:r>
      <w:r w:rsidR="0041546A" w:rsidRPr="001A464C">
        <w:rPr>
          <w:rFonts w:asciiTheme="majorHAnsi" w:hAnsiTheme="majorHAnsi"/>
          <w:b/>
          <w:bCs/>
          <w:color w:val="7F7F7F" w:themeColor="text1" w:themeTint="80"/>
          <w:sz w:val="20"/>
          <w:szCs w:val="20"/>
        </w:rPr>
        <w:t>% (</w:t>
      </w:r>
      <w:r w:rsidR="00904D58">
        <w:rPr>
          <w:rFonts w:asciiTheme="majorHAnsi" w:hAnsiTheme="majorHAnsi"/>
          <w:b/>
          <w:bCs/>
          <w:color w:val="7F7F7F" w:themeColor="text1" w:themeTint="80"/>
          <w:sz w:val="20"/>
          <w:szCs w:val="20"/>
        </w:rPr>
        <w:t>vint</w:t>
      </w:r>
      <w:r w:rsidR="0041546A" w:rsidRPr="001A464C">
        <w:rPr>
          <w:rFonts w:asciiTheme="majorHAnsi" w:hAnsiTheme="majorHAnsi"/>
          <w:b/>
          <w:bCs/>
          <w:color w:val="7F7F7F" w:themeColor="text1" w:themeTint="80"/>
          <w:sz w:val="20"/>
          <w:szCs w:val="20"/>
        </w:rPr>
        <w:t>e</w:t>
      </w:r>
      <w:r w:rsidRPr="001A464C">
        <w:rPr>
          <w:rFonts w:asciiTheme="majorHAnsi" w:hAnsiTheme="majorHAnsi"/>
          <w:b/>
          <w:bCs/>
          <w:color w:val="7F7F7F" w:themeColor="text1" w:themeTint="80"/>
          <w:sz w:val="20"/>
          <w:szCs w:val="20"/>
        </w:rPr>
        <w:t xml:space="preserve"> por cento) da totalidade dos investimentos financeiros do RPPS.</w:t>
      </w:r>
    </w:p>
    <w:p w:rsidR="007B268C" w:rsidRPr="00C7281C" w:rsidRDefault="00CB1E8E" w:rsidP="001A464C">
      <w:pPr>
        <w:pStyle w:val="Ttulo2"/>
        <w:numPr>
          <w:ilvl w:val="1"/>
          <w:numId w:val="6"/>
        </w:numPr>
        <w:spacing w:beforeLines="120" w:before="288" w:line="240" w:lineRule="auto"/>
        <w:ind w:left="0" w:firstLine="0"/>
        <w:jc w:val="both"/>
        <w:rPr>
          <w:color w:val="ED7D31"/>
          <w:sz w:val="20"/>
          <w:szCs w:val="20"/>
        </w:rPr>
      </w:pPr>
      <w:bookmarkStart w:id="17" w:name="_Toc435202744"/>
      <w:bookmarkStart w:id="18" w:name="_Toc467598725"/>
      <w:r w:rsidRPr="00C7281C">
        <w:rPr>
          <w:color w:val="ED7D31"/>
          <w:sz w:val="20"/>
          <w:szCs w:val="20"/>
        </w:rPr>
        <w:t>SEGMENTO DE IMÓVEIS</w:t>
      </w:r>
      <w:bookmarkEnd w:id="17"/>
      <w:bookmarkEnd w:id="18"/>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Conforme o artigo 9º da Resolução CMN nº 3.922/2010, as alocações no segmento de imóveis serão efetuadas, exclusivamente, com os terrenos ou outros imóveis vinculados por lei ao RPPS.</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 xml:space="preserve">Os imóveis repassados pelo Município deverão estar devidamente registrados em Cartório de Registro de Imóveis, livres de quaisquer ônus ou gravame, e possuir as certidões negativas de tributos, em especial o Imposto Predial e Territorial Urbano – IPTU ou o Imposto sobre a Propriedade Territorial Rural – ITR. </w:t>
      </w:r>
    </w:p>
    <w:p w:rsidR="007B268C"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Os imóveis poderão ser utilizados para a aquisição e/ou integralização de Cotas de Fundos de Investimento Imobiliário, cujas cotas sejam negociadas em ambiente de bolsa de valores, com exceção dos mercados de balcão organizados e não organizados. Deverá ser observado também critérios de Rentabilidade, Liquidez e Segurança.</w:t>
      </w:r>
    </w:p>
    <w:p w:rsidR="006C4966" w:rsidRPr="001A464C" w:rsidRDefault="006C4966"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 xml:space="preserve">Seguindo as especificações contidas no Manual de Contabilidade Aplicada ao Setor Público, </w:t>
      </w:r>
      <w:r w:rsidR="00A86177" w:rsidRPr="001A464C">
        <w:rPr>
          <w:rFonts w:asciiTheme="majorHAnsi" w:hAnsiTheme="majorHAnsi"/>
          <w:bCs/>
          <w:color w:val="7F7F7F" w:themeColor="text1" w:themeTint="80"/>
          <w:sz w:val="20"/>
          <w:szCs w:val="20"/>
        </w:rPr>
        <w:t>no item 7, 7.1, há necessidade das reavaliações devido a fatores que podem fazer com que o valor contábil do ativo não corresponda ao seu valor justo. A frequência com que as reavaliações são realizadas depende das mudanças dos valores justos dos itens do ativo que serão reavaliados.</w:t>
      </w:r>
    </w:p>
    <w:p w:rsidR="007B268C" w:rsidRPr="00C7281C" w:rsidRDefault="007B268C" w:rsidP="001A464C">
      <w:pPr>
        <w:pStyle w:val="Ttulo2"/>
        <w:numPr>
          <w:ilvl w:val="1"/>
          <w:numId w:val="6"/>
        </w:numPr>
        <w:spacing w:beforeLines="120" w:before="288" w:line="240" w:lineRule="auto"/>
        <w:ind w:left="0" w:firstLine="0"/>
        <w:jc w:val="both"/>
        <w:rPr>
          <w:color w:val="ED7D31"/>
          <w:sz w:val="20"/>
          <w:szCs w:val="20"/>
        </w:rPr>
      </w:pPr>
      <w:bookmarkStart w:id="19" w:name="_Toc467598726"/>
      <w:r w:rsidRPr="00C7281C">
        <w:rPr>
          <w:color w:val="ED7D31"/>
          <w:sz w:val="20"/>
          <w:szCs w:val="20"/>
        </w:rPr>
        <w:t>ENQUADRAMENTO</w:t>
      </w:r>
      <w:bookmarkEnd w:id="19"/>
    </w:p>
    <w:p w:rsidR="007B268C" w:rsidRPr="001A464C" w:rsidRDefault="009D0EF7"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 xml:space="preserve">O </w:t>
      </w:r>
      <w:r w:rsidR="002B719F" w:rsidRPr="002B719F">
        <w:rPr>
          <w:rFonts w:asciiTheme="majorHAnsi" w:hAnsiTheme="majorHAnsi"/>
          <w:bCs/>
          <w:color w:val="7F7F7F" w:themeColor="text1" w:themeTint="80"/>
          <w:sz w:val="20"/>
          <w:szCs w:val="20"/>
        </w:rPr>
        <w:t>INSTITUTO DE PREVIDÊNCIA DO SERVIDOR MUNICIPAL DE TAQUARITINGA</w:t>
      </w:r>
      <w:r w:rsidR="002B719F" w:rsidRPr="001A464C">
        <w:rPr>
          <w:rFonts w:asciiTheme="majorHAnsi" w:hAnsiTheme="majorHAnsi"/>
          <w:bCs/>
          <w:color w:val="7F7F7F" w:themeColor="text1" w:themeTint="80"/>
          <w:sz w:val="20"/>
          <w:szCs w:val="20"/>
        </w:rPr>
        <w:t xml:space="preserve"> </w:t>
      </w:r>
      <w:r w:rsidRPr="001A464C">
        <w:rPr>
          <w:rFonts w:asciiTheme="majorHAnsi" w:hAnsiTheme="majorHAnsi"/>
          <w:bCs/>
          <w:color w:val="7F7F7F" w:themeColor="text1" w:themeTint="80"/>
          <w:sz w:val="20"/>
          <w:szCs w:val="20"/>
        </w:rPr>
        <w:t xml:space="preserve">considera os limites estipulados </w:t>
      </w:r>
      <w:r w:rsidR="00123714" w:rsidRPr="001A464C">
        <w:rPr>
          <w:rFonts w:asciiTheme="majorHAnsi" w:hAnsiTheme="majorHAnsi"/>
          <w:bCs/>
          <w:color w:val="7F7F7F" w:themeColor="text1" w:themeTint="80"/>
          <w:sz w:val="20"/>
          <w:szCs w:val="20"/>
        </w:rPr>
        <w:t>de enquadramento na</w:t>
      </w:r>
      <w:r w:rsidRPr="001A464C">
        <w:rPr>
          <w:rFonts w:asciiTheme="majorHAnsi" w:hAnsiTheme="majorHAnsi"/>
          <w:bCs/>
          <w:color w:val="7F7F7F" w:themeColor="text1" w:themeTint="80"/>
          <w:sz w:val="20"/>
          <w:szCs w:val="20"/>
        </w:rPr>
        <w:t xml:space="preserve"> Resolução CMN n° 3.922/2010, </w:t>
      </w:r>
      <w:r w:rsidR="00BB6299" w:rsidRPr="001A464C">
        <w:rPr>
          <w:rFonts w:asciiTheme="majorHAnsi" w:hAnsiTheme="majorHAnsi"/>
          <w:bCs/>
          <w:color w:val="7F7F7F" w:themeColor="text1" w:themeTint="80"/>
          <w:sz w:val="20"/>
          <w:szCs w:val="20"/>
        </w:rPr>
        <w:t>e como entendimento complementar ao Artigo 22, destacamos:</w:t>
      </w:r>
    </w:p>
    <w:p w:rsidR="009A755C" w:rsidRDefault="009A755C"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Serão entendidos como desenquadramento passivo, os limites excedidos decorrentes de valorização e desvalorizaç</w:t>
      </w:r>
      <w:r w:rsidR="003B7580">
        <w:rPr>
          <w:rFonts w:asciiTheme="majorHAnsi" w:hAnsiTheme="majorHAnsi"/>
          <w:bCs/>
          <w:color w:val="7F7F7F" w:themeColor="text1" w:themeTint="80"/>
          <w:sz w:val="20"/>
          <w:szCs w:val="20"/>
        </w:rPr>
        <w:t>ão dos ativos ou qualquer tipo de desenquadramento que não tenha sido resultado de ação direta do RPPS.</w:t>
      </w:r>
    </w:p>
    <w:p w:rsidR="00CB1E8E" w:rsidRPr="00C7281C" w:rsidRDefault="00CB1E8E" w:rsidP="001A464C">
      <w:pPr>
        <w:pStyle w:val="Ttulo2"/>
        <w:numPr>
          <w:ilvl w:val="1"/>
          <w:numId w:val="6"/>
        </w:numPr>
        <w:spacing w:beforeLines="120" w:before="288" w:line="240" w:lineRule="auto"/>
        <w:ind w:left="0" w:firstLine="0"/>
        <w:jc w:val="both"/>
        <w:rPr>
          <w:color w:val="ED7D31"/>
          <w:sz w:val="20"/>
          <w:szCs w:val="20"/>
        </w:rPr>
      </w:pPr>
      <w:bookmarkStart w:id="20" w:name="_Toc435202745"/>
      <w:bookmarkStart w:id="21" w:name="_Toc467598727"/>
      <w:r w:rsidRPr="00C7281C">
        <w:rPr>
          <w:color w:val="ED7D31"/>
          <w:sz w:val="20"/>
          <w:szCs w:val="20"/>
        </w:rPr>
        <w:t>VEDAÇÕES</w:t>
      </w:r>
      <w:bookmarkEnd w:id="20"/>
      <w:bookmarkEnd w:id="21"/>
    </w:p>
    <w:p w:rsidR="00CB1E8E" w:rsidRPr="001A464C" w:rsidRDefault="00864AC5"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O Comitê de I</w:t>
      </w:r>
      <w:r w:rsidR="00CB1E8E" w:rsidRPr="001A464C">
        <w:rPr>
          <w:rFonts w:asciiTheme="majorHAnsi" w:hAnsiTheme="majorHAnsi"/>
          <w:bCs/>
          <w:color w:val="7F7F7F" w:themeColor="text1" w:themeTint="80"/>
          <w:sz w:val="20"/>
          <w:szCs w:val="20"/>
        </w:rPr>
        <w:t xml:space="preserve">nvestimento do </w:t>
      </w:r>
      <w:r w:rsidR="002B719F" w:rsidRPr="002B719F">
        <w:rPr>
          <w:rFonts w:asciiTheme="majorHAnsi" w:hAnsiTheme="majorHAnsi"/>
          <w:bCs/>
          <w:color w:val="7F7F7F" w:themeColor="text1" w:themeTint="80"/>
          <w:sz w:val="20"/>
          <w:szCs w:val="20"/>
        </w:rPr>
        <w:t>INSTITUTO DE PREVIDÊNCIA DO SERVIDOR MUNICIPAL DE TAQUARITINGA</w:t>
      </w:r>
      <w:r w:rsidR="002B719F" w:rsidRPr="001A464C">
        <w:rPr>
          <w:rFonts w:asciiTheme="majorHAnsi" w:hAnsiTheme="majorHAnsi"/>
          <w:bCs/>
          <w:color w:val="7F7F7F" w:themeColor="text1" w:themeTint="80"/>
          <w:sz w:val="20"/>
          <w:szCs w:val="20"/>
        </w:rPr>
        <w:t xml:space="preserve"> </w:t>
      </w:r>
      <w:r w:rsidR="00CB1E8E" w:rsidRPr="001A464C">
        <w:rPr>
          <w:rFonts w:asciiTheme="majorHAnsi" w:hAnsiTheme="majorHAnsi"/>
          <w:bCs/>
          <w:color w:val="7F7F7F" w:themeColor="text1" w:themeTint="80"/>
          <w:sz w:val="20"/>
          <w:szCs w:val="20"/>
        </w:rPr>
        <w:t>deverá seguir as vedações estabelecidas pela Resolução CMN n° 3.922/2010, ficando adicionalmente vedada a aquisição de:</w:t>
      </w:r>
    </w:p>
    <w:p w:rsidR="00B243D6" w:rsidRPr="001A464C" w:rsidRDefault="00B243D6" w:rsidP="001A464C">
      <w:pPr>
        <w:numPr>
          <w:ilvl w:val="0"/>
          <w:numId w:val="7"/>
        </w:numPr>
        <w:spacing w:beforeLines="120" w:before="288" w:after="0" w:line="240" w:lineRule="auto"/>
        <w:ind w:left="0" w:firstLine="0"/>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Operações</w:t>
      </w:r>
      <w:r w:rsidR="003B7580">
        <w:rPr>
          <w:rFonts w:asciiTheme="majorHAnsi" w:hAnsiTheme="majorHAnsi"/>
          <w:bCs/>
          <w:color w:val="7F7F7F" w:themeColor="text1" w:themeTint="80"/>
          <w:sz w:val="20"/>
          <w:szCs w:val="20"/>
        </w:rPr>
        <w:t xml:space="preserve"> compromissadas</w:t>
      </w:r>
      <w:r w:rsidRPr="001A464C">
        <w:rPr>
          <w:rFonts w:asciiTheme="majorHAnsi" w:hAnsiTheme="majorHAnsi"/>
          <w:bCs/>
          <w:color w:val="7F7F7F" w:themeColor="text1" w:themeTint="80"/>
          <w:sz w:val="20"/>
          <w:szCs w:val="20"/>
        </w:rPr>
        <w:t>;</w:t>
      </w:r>
    </w:p>
    <w:p w:rsidR="00B243D6" w:rsidRPr="001A464C" w:rsidRDefault="00B243D6" w:rsidP="001A464C">
      <w:pPr>
        <w:numPr>
          <w:ilvl w:val="0"/>
          <w:numId w:val="7"/>
        </w:numPr>
        <w:spacing w:beforeLines="120" w:before="288" w:after="0" w:line="240" w:lineRule="auto"/>
        <w:ind w:left="0" w:firstLine="0"/>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lastRenderedPageBreak/>
        <w:t>Aquisição de qualquer ativo final, emitido por Instituições Financeiras com alto risco de crédito;</w:t>
      </w:r>
    </w:p>
    <w:p w:rsidR="00B243D6" w:rsidRPr="001A464C" w:rsidRDefault="00B243D6" w:rsidP="001A464C">
      <w:pPr>
        <w:numPr>
          <w:ilvl w:val="0"/>
          <w:numId w:val="7"/>
        </w:numPr>
        <w:spacing w:beforeLines="120" w:before="288" w:after="0" w:line="240" w:lineRule="auto"/>
        <w:ind w:left="0" w:firstLine="0"/>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Cotas de Fundos de Investimentos em Direitos Creditórios, constituídos sob forma de condomínio aberto ou fechado que não possuam segregação de funções na prestação de serviços, sendo ao menos, obrigatoriamente, duas pessoas jurídicas diferentes, de suas controladoras, de entidades por elas direta ou indiretamente controladas ou quais outras sociedades sob controle comum;</w:t>
      </w:r>
    </w:p>
    <w:p w:rsidR="00CB1E8E" w:rsidRPr="001A464C" w:rsidRDefault="00CB1E8E" w:rsidP="001A464C">
      <w:pPr>
        <w:numPr>
          <w:ilvl w:val="0"/>
          <w:numId w:val="7"/>
        </w:numPr>
        <w:spacing w:beforeLines="120" w:before="288" w:after="0" w:line="240" w:lineRule="auto"/>
        <w:ind w:left="0" w:firstLine="0"/>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Cotas de Fundos Multimercados cujos regulamentos não determinem que os ativos de créditos que compõem suas carteiras sejam considerados como de baixo risco de crédito por, no mínimo, uma das agências classificadoras de risco citadas no item 7.2 - Controle do Risco de Crédito da presente Política de Investimentos;</w:t>
      </w:r>
    </w:p>
    <w:p w:rsidR="00B243D6" w:rsidRPr="001A464C" w:rsidRDefault="00B243D6" w:rsidP="001A464C">
      <w:pPr>
        <w:numPr>
          <w:ilvl w:val="0"/>
          <w:numId w:val="7"/>
        </w:numPr>
        <w:spacing w:beforeLines="120" w:before="288" w:after="0" w:line="240" w:lineRule="auto"/>
        <w:ind w:left="0" w:firstLine="0"/>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Cotas de Fundos Multimercados cuja denominação contenha a expressão “crédito privado”;</w:t>
      </w:r>
    </w:p>
    <w:p w:rsidR="00B243D6" w:rsidRPr="001A464C" w:rsidRDefault="00B243D6" w:rsidP="001A464C">
      <w:pPr>
        <w:numPr>
          <w:ilvl w:val="0"/>
          <w:numId w:val="7"/>
        </w:numPr>
        <w:spacing w:beforeLines="120" w:before="288" w:after="0" w:line="240" w:lineRule="auto"/>
        <w:ind w:left="0" w:firstLine="0"/>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Cotas de Fundos em Participações (FIP) que não prevejam em seu regulamento a constituição de um Comitê de Acompanhamento que se reúna, no mínimo, trimestralmente e que faça a lavratura de atas, com vistas a monitorar o desempenho dos gestores e das empresas investidas;</w:t>
      </w:r>
    </w:p>
    <w:p w:rsidR="00B243D6" w:rsidRPr="001A464C" w:rsidRDefault="00B243D6" w:rsidP="001A464C">
      <w:pPr>
        <w:numPr>
          <w:ilvl w:val="0"/>
          <w:numId w:val="7"/>
        </w:numPr>
        <w:spacing w:beforeLines="120" w:before="288" w:after="0" w:line="240" w:lineRule="auto"/>
        <w:ind w:left="0" w:firstLine="0"/>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Cotas de Fundos de Investimentos Imobiliários (FII) que não prevejam em seu regulamento a constituição de um Comitê de Acompanhamento que se reúna, no mínimo, trimestralmente, e que faça a lavratura de atas, com vistas a monitorar o desempenho dos gestores e das empresas investidas.</w:t>
      </w:r>
    </w:p>
    <w:p w:rsidR="00F52A76" w:rsidRPr="00F52A76" w:rsidRDefault="00F52A76" w:rsidP="00F52A76">
      <w:pPr>
        <w:numPr>
          <w:ilvl w:val="0"/>
          <w:numId w:val="7"/>
        </w:numPr>
        <w:spacing w:beforeLines="120" w:before="288" w:after="0" w:line="240" w:lineRule="auto"/>
        <w:ind w:left="0" w:firstLine="0"/>
        <w:jc w:val="both"/>
        <w:rPr>
          <w:rFonts w:asciiTheme="majorHAnsi" w:hAnsiTheme="majorHAnsi"/>
          <w:bCs/>
          <w:color w:val="7F7F7F" w:themeColor="text1" w:themeTint="80"/>
          <w:sz w:val="20"/>
          <w:szCs w:val="20"/>
        </w:rPr>
      </w:pPr>
      <w:r>
        <w:rPr>
          <w:rFonts w:asciiTheme="majorHAnsi" w:hAnsiTheme="majorHAnsi"/>
          <w:bCs/>
          <w:color w:val="7F7F7F" w:themeColor="text1" w:themeTint="80"/>
          <w:sz w:val="20"/>
          <w:szCs w:val="20"/>
        </w:rPr>
        <w:t>A</w:t>
      </w:r>
      <w:r w:rsidRPr="00F52A76">
        <w:rPr>
          <w:rFonts w:asciiTheme="majorHAnsi" w:hAnsiTheme="majorHAnsi"/>
          <w:bCs/>
          <w:color w:val="7F7F7F" w:themeColor="text1" w:themeTint="80"/>
          <w:sz w:val="20"/>
          <w:szCs w:val="20"/>
        </w:rPr>
        <w:t xml:space="preserve"> classificação e enquadramento das cotas de fundos de investimento não podem ser descaracterizados pelos ativos finais investidos devendo haver correspondência com a política de investimentos do fundo.</w:t>
      </w:r>
    </w:p>
    <w:p w:rsidR="00CB1E8E" w:rsidRPr="001A464C" w:rsidRDefault="00CB1E8E" w:rsidP="001A464C">
      <w:pPr>
        <w:spacing w:beforeLines="120" w:before="288" w:after="0" w:line="240" w:lineRule="auto"/>
        <w:jc w:val="both"/>
        <w:rPr>
          <w:rFonts w:asciiTheme="majorHAnsi" w:hAnsiTheme="majorHAnsi"/>
          <w:sz w:val="20"/>
          <w:szCs w:val="20"/>
        </w:rPr>
      </w:pPr>
    </w:p>
    <w:p w:rsidR="00CB1E8E" w:rsidRPr="00C7281C" w:rsidRDefault="00CB1E8E" w:rsidP="001A464C">
      <w:pPr>
        <w:keepNext/>
        <w:keepLines/>
        <w:numPr>
          <w:ilvl w:val="0"/>
          <w:numId w:val="6"/>
        </w:numPr>
        <w:spacing w:beforeLines="120" w:before="288" w:after="0" w:line="240" w:lineRule="auto"/>
        <w:ind w:left="0" w:firstLine="0"/>
        <w:jc w:val="both"/>
        <w:rPr>
          <w:rFonts w:asciiTheme="majorHAnsi" w:eastAsiaTheme="majorEastAsia" w:hAnsiTheme="majorHAnsi" w:cstheme="majorBidi"/>
          <w:b/>
          <w:color w:val="ED7D31"/>
          <w:sz w:val="20"/>
          <w:szCs w:val="20"/>
          <w:u w:val="single"/>
        </w:rPr>
      </w:pPr>
      <w:bookmarkStart w:id="22" w:name="_Toc435202746"/>
      <w:r w:rsidRPr="00C7281C">
        <w:rPr>
          <w:rFonts w:asciiTheme="majorHAnsi" w:eastAsiaTheme="majorEastAsia" w:hAnsiTheme="majorHAnsi" w:cstheme="majorBidi"/>
          <w:b/>
          <w:color w:val="ED7D31"/>
          <w:sz w:val="20"/>
          <w:szCs w:val="20"/>
          <w:u w:val="single"/>
        </w:rPr>
        <w:t>META ATUARIAL</w:t>
      </w:r>
      <w:bookmarkEnd w:id="22"/>
    </w:p>
    <w:p w:rsidR="00191914" w:rsidRPr="001A464C" w:rsidRDefault="00191914"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A Portaria MPS nº 87, de 02 de fevereiro de 2005, publicada no DOU de 03/02/2005, que estabelece as Normas Gerais de Atuária dos Regimes Próprios de Previdência Social, determina que a taxa real de juros a ser utilizada nas Avaliações Atuariais será de, no máximo, 6,00% (seis por cento) ao ano.</w:t>
      </w:r>
    </w:p>
    <w:p w:rsidR="00191914" w:rsidRPr="001A464C" w:rsidRDefault="00191914"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Também chamada de meta atuarial, é a taxa de desconto utilizada no cálculo atuarial para trazer a valor presente, todos os compromissos do plano de benefícios para com seus beneficiários na linha do tempo, determinando assim o quanto de patrimônio o Regime Próprio de Previdência Social deverá possuir hoje para manter o equilíbrio atuarial.</w:t>
      </w:r>
    </w:p>
    <w:p w:rsidR="00191914" w:rsidRPr="001A464C" w:rsidRDefault="00191914"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Obviamente, esse equilíbrio somente será possível de se obter caso os investimentos sejam remunerados, no mínimo, por essa mesma taxa. Do contrário, ou seja, se a taxa que remunera os investimentos passe a ser inferior a taxa utilizada no cálculo atuarial, o plano de benefícios se tornará insolvente, comprometendo o pagamento das aposentadorias e pensões em algum momento no futuro.</w:t>
      </w:r>
    </w:p>
    <w:p w:rsidR="00191914" w:rsidRPr="001A464C" w:rsidRDefault="00191914"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Considerando a distribuição dos recursos conforme a estratégia alvo utilizada nesta Política de Investimentos, as projeções indicam que a rentabilidade real estimada para o conjunto dos investimentos ao final do ano de 2017 será de </w:t>
      </w:r>
      <w:r w:rsidR="00BB3C0F" w:rsidRPr="00BB3C0F">
        <w:rPr>
          <w:rFonts w:asciiTheme="majorHAnsi" w:hAnsiTheme="majorHAnsi"/>
          <w:b/>
          <w:bCs/>
          <w:color w:val="7F7F7F" w:themeColor="text1" w:themeTint="80"/>
          <w:sz w:val="20"/>
          <w:szCs w:val="20"/>
        </w:rPr>
        <w:t>6,00</w:t>
      </w:r>
      <w:r w:rsidRPr="00BB3C0F">
        <w:rPr>
          <w:rFonts w:asciiTheme="majorHAnsi" w:hAnsiTheme="majorHAnsi"/>
          <w:b/>
          <w:bCs/>
          <w:color w:val="7F7F7F" w:themeColor="text1" w:themeTint="80"/>
          <w:sz w:val="20"/>
          <w:szCs w:val="20"/>
        </w:rPr>
        <w:t>% (</w:t>
      </w:r>
      <w:r w:rsidR="00BB3C0F">
        <w:rPr>
          <w:rFonts w:asciiTheme="majorHAnsi" w:hAnsiTheme="majorHAnsi"/>
          <w:b/>
          <w:bCs/>
          <w:color w:val="7F7F7F" w:themeColor="text1" w:themeTint="80"/>
          <w:sz w:val="20"/>
          <w:szCs w:val="20"/>
        </w:rPr>
        <w:t>seis</w:t>
      </w:r>
      <w:r w:rsidRPr="00BB3C0F">
        <w:rPr>
          <w:rFonts w:asciiTheme="majorHAnsi" w:hAnsiTheme="majorHAnsi"/>
          <w:b/>
          <w:bCs/>
          <w:color w:val="7F7F7F" w:themeColor="text1" w:themeTint="80"/>
          <w:sz w:val="20"/>
          <w:szCs w:val="20"/>
        </w:rPr>
        <w:t xml:space="preserve"> por cento)</w:t>
      </w:r>
      <w:r w:rsidRPr="001A464C">
        <w:rPr>
          <w:rFonts w:asciiTheme="majorHAnsi" w:hAnsiTheme="majorHAnsi"/>
          <w:bCs/>
          <w:color w:val="7F7F7F" w:themeColor="text1" w:themeTint="80"/>
          <w:sz w:val="20"/>
          <w:szCs w:val="20"/>
        </w:rPr>
        <w:t xml:space="preserve">, somado a inflação de </w:t>
      </w:r>
      <w:r w:rsidR="00BB3C0F" w:rsidRPr="00BB3C0F">
        <w:rPr>
          <w:rFonts w:asciiTheme="majorHAnsi" w:hAnsiTheme="majorHAnsi"/>
          <w:b/>
          <w:bCs/>
          <w:color w:val="7F7F7F" w:themeColor="text1" w:themeTint="80"/>
          <w:sz w:val="20"/>
          <w:szCs w:val="20"/>
        </w:rPr>
        <w:t>INPC</w:t>
      </w:r>
      <w:r w:rsidR="004B70E5">
        <w:rPr>
          <w:rFonts w:asciiTheme="majorHAnsi" w:hAnsiTheme="majorHAnsi"/>
          <w:b/>
          <w:bCs/>
          <w:color w:val="7F7F7F" w:themeColor="text1" w:themeTint="80"/>
          <w:sz w:val="20"/>
          <w:szCs w:val="20"/>
        </w:rPr>
        <w:t xml:space="preserve"> – Índice Nacional de Preço ao Consumidor</w:t>
      </w:r>
      <w:r w:rsidRPr="001A464C">
        <w:rPr>
          <w:rFonts w:asciiTheme="majorHAnsi" w:hAnsiTheme="majorHAnsi"/>
          <w:bCs/>
          <w:color w:val="7F7F7F" w:themeColor="text1" w:themeTint="80"/>
          <w:sz w:val="20"/>
          <w:szCs w:val="20"/>
        </w:rPr>
        <w:t>, ou seja, superior à taxa de juros máxima admitida pela norma legal.</w:t>
      </w:r>
    </w:p>
    <w:p w:rsidR="00191914" w:rsidRPr="001A464C" w:rsidRDefault="00191914"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lastRenderedPageBreak/>
        <w:t>Ainda assim, o </w:t>
      </w:r>
      <w:r w:rsidR="002B719F" w:rsidRPr="002B719F">
        <w:rPr>
          <w:rFonts w:asciiTheme="majorHAnsi" w:hAnsiTheme="majorHAnsi"/>
          <w:bCs/>
          <w:color w:val="7F7F7F" w:themeColor="text1" w:themeTint="80"/>
          <w:sz w:val="20"/>
          <w:szCs w:val="20"/>
        </w:rPr>
        <w:t>INSTITUTO DE PREVIDÊNCIA DO SERVIDOR MUNICIPAL DE TAQUARITINGA</w:t>
      </w:r>
      <w:r w:rsidR="002B719F" w:rsidRPr="001A464C">
        <w:rPr>
          <w:rFonts w:asciiTheme="majorHAnsi" w:hAnsiTheme="majorHAnsi"/>
          <w:bCs/>
          <w:color w:val="7F7F7F" w:themeColor="text1" w:themeTint="80"/>
          <w:sz w:val="20"/>
          <w:szCs w:val="20"/>
        </w:rPr>
        <w:t xml:space="preserve"> </w:t>
      </w:r>
      <w:r w:rsidRPr="001A464C">
        <w:rPr>
          <w:rFonts w:asciiTheme="majorHAnsi" w:hAnsiTheme="majorHAnsi"/>
          <w:bCs/>
          <w:color w:val="7F7F7F" w:themeColor="text1" w:themeTint="80"/>
          <w:sz w:val="20"/>
          <w:szCs w:val="20"/>
        </w:rPr>
        <w:t>avaliará a execução de estudos que evidenciem, no longo prazo, qual a real situação financeiro-atuarial do plano de benefícios previdenciários.</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p>
    <w:p w:rsidR="00CB1E8E" w:rsidRPr="00C7281C" w:rsidRDefault="00CB1E8E" w:rsidP="001A464C">
      <w:pPr>
        <w:keepNext/>
        <w:keepLines/>
        <w:numPr>
          <w:ilvl w:val="0"/>
          <w:numId w:val="6"/>
        </w:numPr>
        <w:spacing w:beforeLines="120" w:before="288" w:after="0" w:line="240" w:lineRule="auto"/>
        <w:ind w:left="0" w:firstLine="0"/>
        <w:jc w:val="both"/>
        <w:rPr>
          <w:rFonts w:asciiTheme="majorHAnsi" w:eastAsiaTheme="majorEastAsia" w:hAnsiTheme="majorHAnsi" w:cstheme="majorBidi"/>
          <w:b/>
          <w:color w:val="ED7D31"/>
          <w:sz w:val="20"/>
          <w:szCs w:val="20"/>
          <w:u w:val="single"/>
        </w:rPr>
      </w:pPr>
      <w:bookmarkStart w:id="23" w:name="_Toc435202747"/>
      <w:r w:rsidRPr="00C7281C">
        <w:rPr>
          <w:rFonts w:asciiTheme="majorHAnsi" w:eastAsiaTheme="majorEastAsia" w:hAnsiTheme="majorHAnsi" w:cstheme="majorBidi"/>
          <w:b/>
          <w:color w:val="ED7D31"/>
          <w:sz w:val="20"/>
          <w:szCs w:val="20"/>
          <w:u w:val="single"/>
        </w:rPr>
        <w:t>ESTRUTURA DE GESTÃO DOS ATIVOS</w:t>
      </w:r>
      <w:bookmarkEnd w:id="23"/>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De acordo com as hipóteses previstas na Resolução CMN nº 3.922/2010, a aplicação dos at</w:t>
      </w:r>
      <w:r w:rsidR="00864AC5" w:rsidRPr="001A464C">
        <w:rPr>
          <w:rFonts w:asciiTheme="majorHAnsi" w:hAnsiTheme="majorHAnsi"/>
          <w:bCs/>
          <w:color w:val="7F7F7F" w:themeColor="text1" w:themeTint="80"/>
          <w:sz w:val="20"/>
          <w:szCs w:val="20"/>
        </w:rPr>
        <w:t xml:space="preserve">ivos será realizada por gestão </w:t>
      </w:r>
      <w:r w:rsidRPr="001A464C">
        <w:rPr>
          <w:rFonts w:asciiTheme="majorHAnsi" w:hAnsiTheme="majorHAnsi"/>
          <w:bCs/>
          <w:color w:val="7F7F7F" w:themeColor="text1" w:themeTint="80"/>
          <w:sz w:val="20"/>
          <w:szCs w:val="20"/>
        </w:rPr>
        <w:t>própria, terceirizada ou mista.</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 xml:space="preserve">Para a vigência desta Política de Investimentos, a gestão das aplicações dos recursos do </w:t>
      </w:r>
      <w:r w:rsidR="002B719F" w:rsidRPr="002B719F">
        <w:rPr>
          <w:rFonts w:asciiTheme="majorHAnsi" w:hAnsiTheme="majorHAnsi"/>
          <w:bCs/>
          <w:color w:val="7F7F7F" w:themeColor="text1" w:themeTint="80"/>
          <w:sz w:val="20"/>
          <w:szCs w:val="20"/>
        </w:rPr>
        <w:t>INSTITUTO DE PREVIDÊNCIA DO SERVIDOR MUNICIPAL DE TAQUARITINGA</w:t>
      </w:r>
      <w:r w:rsidR="002B719F" w:rsidRPr="001A464C">
        <w:rPr>
          <w:rFonts w:asciiTheme="majorHAnsi" w:hAnsiTheme="majorHAnsi"/>
          <w:bCs/>
          <w:color w:val="7F7F7F" w:themeColor="text1" w:themeTint="80"/>
          <w:sz w:val="20"/>
          <w:szCs w:val="20"/>
        </w:rPr>
        <w:t xml:space="preserve"> </w:t>
      </w:r>
      <w:r w:rsidRPr="001A464C">
        <w:rPr>
          <w:rFonts w:asciiTheme="majorHAnsi" w:hAnsiTheme="majorHAnsi"/>
          <w:bCs/>
          <w:color w:val="7F7F7F" w:themeColor="text1" w:themeTint="80"/>
          <w:sz w:val="20"/>
          <w:szCs w:val="20"/>
        </w:rPr>
        <w:t xml:space="preserve">será </w:t>
      </w:r>
      <w:r w:rsidRPr="001A464C">
        <w:rPr>
          <w:rFonts w:asciiTheme="majorHAnsi" w:hAnsiTheme="majorHAnsi"/>
          <w:b/>
          <w:bCs/>
          <w:color w:val="7F7F7F" w:themeColor="text1" w:themeTint="80"/>
          <w:sz w:val="20"/>
          <w:szCs w:val="20"/>
        </w:rPr>
        <w:t>própria</w:t>
      </w:r>
      <w:r w:rsidRPr="001A464C">
        <w:rPr>
          <w:rFonts w:asciiTheme="majorHAnsi" w:hAnsiTheme="majorHAnsi"/>
          <w:bCs/>
          <w:color w:val="7F7F7F" w:themeColor="text1" w:themeTint="80"/>
          <w:sz w:val="20"/>
          <w:szCs w:val="20"/>
        </w:rPr>
        <w:t>.</w:t>
      </w:r>
    </w:p>
    <w:p w:rsidR="00CB1E8E" w:rsidRPr="00C7281C" w:rsidRDefault="00CB1E8E" w:rsidP="001A464C">
      <w:pPr>
        <w:pStyle w:val="Ttulo2"/>
        <w:numPr>
          <w:ilvl w:val="1"/>
          <w:numId w:val="6"/>
        </w:numPr>
        <w:spacing w:beforeLines="120" w:before="288" w:line="240" w:lineRule="auto"/>
        <w:ind w:left="0" w:firstLine="0"/>
        <w:jc w:val="both"/>
        <w:rPr>
          <w:color w:val="ED7D31"/>
          <w:sz w:val="20"/>
          <w:szCs w:val="20"/>
        </w:rPr>
      </w:pPr>
      <w:bookmarkStart w:id="24" w:name="_Toc435202748"/>
      <w:bookmarkStart w:id="25" w:name="_Toc467598728"/>
      <w:r w:rsidRPr="00C7281C">
        <w:rPr>
          <w:color w:val="ED7D31"/>
          <w:sz w:val="20"/>
          <w:szCs w:val="20"/>
        </w:rPr>
        <w:t>GESTÃO PRÓPRIA</w:t>
      </w:r>
      <w:bookmarkEnd w:id="24"/>
      <w:bookmarkEnd w:id="25"/>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A adoção deste modelo de gestão significa que o total dos recursos ficará sob a responsabilidade do RPPS, com profissionais qualificados e certificados por entidade de certificação reconhecida pelo Ministério da Previdência Social, conforme exigência da Portaria MPS nº 519, de 24 de agosto de 2011, e contará com Comitê de Investimentos como órgão participativo do processo decisório, com o objetivo de gerenciar a aplicação de recursos, escolhendo os ativos, delimitando os níveis de riscos, estabelecendo os prazos para as aplicações, sendo obrigatório o Credenciamento de administradores e gestores de fundos de investimentos junto ao RPPS.</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O RPPS tem ainda a prerrogativa da contratação de empresa de consultoria, de acordo com os critérios estabelecidos na Resolução CMN nº 3.922/2010, para prestar assessoramento às aplicações de recursos.</w:t>
      </w:r>
    </w:p>
    <w:p w:rsidR="00CB1E8E" w:rsidRPr="00C7281C" w:rsidRDefault="00CB1E8E" w:rsidP="001A464C">
      <w:pPr>
        <w:pStyle w:val="Ttulo2"/>
        <w:numPr>
          <w:ilvl w:val="1"/>
          <w:numId w:val="6"/>
        </w:numPr>
        <w:spacing w:beforeLines="120" w:before="288" w:line="240" w:lineRule="auto"/>
        <w:ind w:left="0" w:firstLine="0"/>
        <w:jc w:val="both"/>
        <w:rPr>
          <w:color w:val="ED7D31"/>
          <w:sz w:val="20"/>
          <w:szCs w:val="20"/>
        </w:rPr>
      </w:pPr>
      <w:bookmarkStart w:id="26" w:name="_Toc435189691"/>
      <w:bookmarkStart w:id="27" w:name="_Toc435202749"/>
      <w:bookmarkStart w:id="28" w:name="_Toc467598729"/>
      <w:r w:rsidRPr="00C7281C">
        <w:rPr>
          <w:color w:val="ED7D31"/>
          <w:sz w:val="20"/>
          <w:szCs w:val="20"/>
        </w:rPr>
        <w:t>ÓRGÃOS DE E</w:t>
      </w:r>
      <w:bookmarkEnd w:id="26"/>
      <w:r w:rsidRPr="00C7281C">
        <w:rPr>
          <w:color w:val="ED7D31"/>
          <w:sz w:val="20"/>
          <w:szCs w:val="20"/>
        </w:rPr>
        <w:t>XECUÇÃO</w:t>
      </w:r>
      <w:bookmarkEnd w:id="27"/>
      <w:bookmarkEnd w:id="28"/>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Compete ao Comitê de</w:t>
      </w:r>
      <w:r w:rsidR="008C01A0" w:rsidRPr="001A464C">
        <w:rPr>
          <w:rFonts w:asciiTheme="majorHAnsi" w:hAnsiTheme="majorHAnsi"/>
          <w:bCs/>
          <w:color w:val="7F7F7F" w:themeColor="text1" w:themeTint="80"/>
          <w:sz w:val="20"/>
          <w:szCs w:val="20"/>
        </w:rPr>
        <w:t xml:space="preserve"> Investimentos a elaboração da Política de I</w:t>
      </w:r>
      <w:r w:rsidRPr="001A464C">
        <w:rPr>
          <w:rFonts w:asciiTheme="majorHAnsi" w:hAnsiTheme="majorHAnsi"/>
          <w:bCs/>
          <w:color w:val="7F7F7F" w:themeColor="text1" w:themeTint="80"/>
          <w:sz w:val="20"/>
          <w:szCs w:val="20"/>
        </w:rPr>
        <w:t>nvestimento, que deve submetê-la para aprovação ao Conselho</w:t>
      </w:r>
      <w:r w:rsidR="00864AC5" w:rsidRPr="001A464C">
        <w:rPr>
          <w:rFonts w:asciiTheme="majorHAnsi" w:hAnsiTheme="majorHAnsi"/>
          <w:bCs/>
          <w:color w:val="7F7F7F" w:themeColor="text1" w:themeTint="80"/>
          <w:sz w:val="20"/>
          <w:szCs w:val="20"/>
        </w:rPr>
        <w:t xml:space="preserve"> Deliberativo</w:t>
      </w:r>
      <w:r w:rsidRPr="001A464C">
        <w:rPr>
          <w:rFonts w:asciiTheme="majorHAnsi" w:hAnsiTheme="majorHAnsi"/>
          <w:bCs/>
          <w:color w:val="7F7F7F" w:themeColor="text1" w:themeTint="80"/>
          <w:sz w:val="20"/>
          <w:szCs w:val="20"/>
        </w:rPr>
        <w:t>, órgão superior competente para definições estratégicas do RPPS. Essa estrutura garante a demonstração da segregação de funções adotadas pelos órgãos de execução, estando em linha com as práticas de mercado para uma boa governança corporativa.</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Esta política de investimentos estabelece as diretrizes a serem tomadas pelo comitê de investimentos na gestão dos recursos, visando atingir e obter o equilíbrio financeiro e atuarial com a solvabilidade do plano.</w:t>
      </w:r>
    </w:p>
    <w:p w:rsidR="00955C19" w:rsidRPr="001A464C" w:rsidRDefault="00955C19" w:rsidP="001A464C">
      <w:pPr>
        <w:spacing w:beforeLines="120" w:before="288" w:after="0" w:line="240" w:lineRule="auto"/>
        <w:jc w:val="both"/>
        <w:rPr>
          <w:rFonts w:asciiTheme="majorHAnsi" w:hAnsiTheme="majorHAnsi"/>
          <w:bCs/>
          <w:color w:val="7F7F7F" w:themeColor="text1" w:themeTint="80"/>
          <w:sz w:val="20"/>
          <w:szCs w:val="20"/>
        </w:rPr>
      </w:pPr>
    </w:p>
    <w:p w:rsidR="00CB1E8E" w:rsidRPr="00C7281C" w:rsidRDefault="00CB1E8E" w:rsidP="001A464C">
      <w:pPr>
        <w:keepNext/>
        <w:keepLines/>
        <w:numPr>
          <w:ilvl w:val="0"/>
          <w:numId w:val="6"/>
        </w:numPr>
        <w:spacing w:beforeLines="120" w:before="288" w:after="0" w:line="240" w:lineRule="auto"/>
        <w:ind w:left="0" w:firstLine="0"/>
        <w:jc w:val="both"/>
        <w:rPr>
          <w:rFonts w:asciiTheme="majorHAnsi" w:eastAsiaTheme="majorEastAsia" w:hAnsiTheme="majorHAnsi" w:cstheme="majorBidi"/>
          <w:b/>
          <w:color w:val="ED7D31"/>
          <w:sz w:val="20"/>
          <w:szCs w:val="20"/>
          <w:u w:val="single"/>
        </w:rPr>
      </w:pPr>
      <w:bookmarkStart w:id="29" w:name="_Toc435202750"/>
      <w:r w:rsidRPr="00C7281C">
        <w:rPr>
          <w:rFonts w:asciiTheme="majorHAnsi" w:eastAsiaTheme="majorEastAsia" w:hAnsiTheme="majorHAnsi" w:cstheme="majorBidi"/>
          <w:b/>
          <w:color w:val="ED7D31"/>
          <w:sz w:val="20"/>
          <w:szCs w:val="20"/>
          <w:u w:val="single"/>
        </w:rPr>
        <w:t>CONTROLE DE RISCO</w:t>
      </w:r>
      <w:bookmarkEnd w:id="29"/>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É relevante mencionar que qualquer aplicação financeira estará sujeita à incidência de fatores de risco que podem afetar adversamente o seu retorno, entre eles:</w:t>
      </w:r>
    </w:p>
    <w:p w:rsidR="00CB1E8E" w:rsidRPr="001A464C" w:rsidRDefault="00CB1E8E" w:rsidP="001A464C">
      <w:pPr>
        <w:numPr>
          <w:ilvl w:val="0"/>
          <w:numId w:val="8"/>
        </w:numPr>
        <w:spacing w:beforeLines="120" w:before="288" w:after="0" w:line="240" w:lineRule="auto"/>
        <w:ind w:left="0" w:firstLine="0"/>
        <w:jc w:val="both"/>
        <w:rPr>
          <w:rFonts w:asciiTheme="majorHAnsi" w:hAnsiTheme="majorHAnsi"/>
          <w:bCs/>
          <w:color w:val="7F7F7F" w:themeColor="text1" w:themeTint="80"/>
          <w:sz w:val="20"/>
          <w:szCs w:val="20"/>
        </w:rPr>
      </w:pPr>
      <w:r w:rsidRPr="001A464C">
        <w:rPr>
          <w:rFonts w:asciiTheme="majorHAnsi" w:hAnsiTheme="majorHAnsi"/>
          <w:b/>
          <w:bCs/>
          <w:color w:val="7F7F7F" w:themeColor="text1" w:themeTint="80"/>
          <w:sz w:val="20"/>
          <w:szCs w:val="20"/>
        </w:rPr>
        <w:t>Risco de Mercado</w:t>
      </w:r>
      <w:r w:rsidRPr="001A464C">
        <w:rPr>
          <w:rFonts w:asciiTheme="majorHAnsi" w:hAnsiTheme="majorHAnsi"/>
          <w:bCs/>
          <w:color w:val="7F7F7F" w:themeColor="text1" w:themeTint="80"/>
          <w:sz w:val="20"/>
          <w:szCs w:val="20"/>
        </w:rPr>
        <w:t xml:space="preserve"> – é o risco inerente a todas as modalidades de aplicações financeiras disponíveis no mercado financeiro; corresponde à incerteza em relação ao resultado de um investimento financeiro ou de uma carteira de investimento, em decorrência de mudanças futuras nas condições de </w:t>
      </w:r>
      <w:r w:rsidRPr="001A464C">
        <w:rPr>
          <w:rFonts w:asciiTheme="majorHAnsi" w:hAnsiTheme="majorHAnsi"/>
          <w:bCs/>
          <w:color w:val="7F7F7F" w:themeColor="text1" w:themeTint="80"/>
          <w:sz w:val="20"/>
          <w:szCs w:val="20"/>
        </w:rPr>
        <w:lastRenderedPageBreak/>
        <w:t>mercado. É o risco de variações, oscilações nas taxas e preços de mercado, tais como taxa de juros, preços de ações e outros índices. É ligado às oscilações do mercado financeiro.</w:t>
      </w:r>
    </w:p>
    <w:p w:rsidR="00CB1E8E" w:rsidRPr="001A464C" w:rsidRDefault="00CB1E8E" w:rsidP="001A464C">
      <w:pPr>
        <w:numPr>
          <w:ilvl w:val="0"/>
          <w:numId w:val="8"/>
        </w:numPr>
        <w:spacing w:beforeLines="120" w:before="288" w:after="0" w:line="240" w:lineRule="auto"/>
        <w:ind w:left="0" w:firstLine="0"/>
        <w:jc w:val="both"/>
        <w:rPr>
          <w:rFonts w:asciiTheme="majorHAnsi" w:hAnsiTheme="majorHAnsi"/>
          <w:bCs/>
          <w:color w:val="7F7F7F" w:themeColor="text1" w:themeTint="80"/>
          <w:sz w:val="20"/>
          <w:szCs w:val="20"/>
        </w:rPr>
      </w:pPr>
      <w:r w:rsidRPr="001A464C">
        <w:rPr>
          <w:rFonts w:asciiTheme="majorHAnsi" w:hAnsiTheme="majorHAnsi"/>
          <w:b/>
          <w:bCs/>
          <w:color w:val="7F7F7F" w:themeColor="text1" w:themeTint="80"/>
          <w:sz w:val="20"/>
          <w:szCs w:val="20"/>
        </w:rPr>
        <w:t>Risco de Crédito</w:t>
      </w:r>
      <w:r w:rsidRPr="001A464C">
        <w:rPr>
          <w:rFonts w:asciiTheme="majorHAnsi" w:hAnsiTheme="majorHAnsi"/>
          <w:bCs/>
          <w:color w:val="7F7F7F" w:themeColor="text1" w:themeTint="80"/>
          <w:sz w:val="20"/>
          <w:szCs w:val="20"/>
        </w:rPr>
        <w:t xml:space="preserve"> - também conhecido como risco institucional ou de contraparte, é aquele em que há a possibilidade de o retorno de investimento não ser honrado pela instituição que emitiu determinado título, na data e nas condições negociadas e contratadas;</w:t>
      </w:r>
    </w:p>
    <w:p w:rsidR="00CB1E8E" w:rsidRPr="001A464C" w:rsidRDefault="00CB1E8E" w:rsidP="001A464C">
      <w:pPr>
        <w:numPr>
          <w:ilvl w:val="0"/>
          <w:numId w:val="8"/>
        </w:numPr>
        <w:spacing w:beforeLines="120" w:before="288" w:after="0" w:line="240" w:lineRule="auto"/>
        <w:ind w:left="0" w:firstLine="0"/>
        <w:jc w:val="both"/>
        <w:rPr>
          <w:rFonts w:asciiTheme="majorHAnsi" w:hAnsiTheme="majorHAnsi"/>
          <w:bCs/>
          <w:color w:val="7F7F7F" w:themeColor="text1" w:themeTint="80"/>
          <w:sz w:val="20"/>
          <w:szCs w:val="20"/>
        </w:rPr>
      </w:pPr>
      <w:r w:rsidRPr="001A464C">
        <w:rPr>
          <w:rFonts w:asciiTheme="majorHAnsi" w:hAnsiTheme="majorHAnsi"/>
          <w:b/>
          <w:bCs/>
          <w:color w:val="7F7F7F" w:themeColor="text1" w:themeTint="80"/>
          <w:sz w:val="20"/>
          <w:szCs w:val="20"/>
        </w:rPr>
        <w:t>Risco de Liquidez</w:t>
      </w:r>
      <w:r w:rsidRPr="001A464C">
        <w:rPr>
          <w:rFonts w:asciiTheme="majorHAnsi" w:hAnsiTheme="majorHAnsi"/>
          <w:bCs/>
          <w:color w:val="7F7F7F" w:themeColor="text1" w:themeTint="80"/>
          <w:sz w:val="20"/>
          <w:szCs w:val="20"/>
        </w:rPr>
        <w:t xml:space="preserve"> - surge da dificuldade em se conseguir encontrar compradores potenciais de um determinado ativo no momento e no preço desejado. Ocorre quando um ativo está com baixo volume de negócios e apresenta grandes diferenças entre o preço que o comprador está disposto a pagar (oferta de compra) e aquele que o vendedor gostaria de vender (oferta de venda). Quando é necessário vender algum ativo num mercado ilíquido, tende a ser difícil conseguir realizar a venda sem sacrificar o preço do ativo negociado.</w:t>
      </w:r>
    </w:p>
    <w:p w:rsidR="00CB1E8E" w:rsidRPr="00C7281C" w:rsidRDefault="00CB1E8E" w:rsidP="001A464C">
      <w:pPr>
        <w:pStyle w:val="Ttulo2"/>
        <w:numPr>
          <w:ilvl w:val="1"/>
          <w:numId w:val="6"/>
        </w:numPr>
        <w:spacing w:beforeLines="120" w:before="288" w:line="240" w:lineRule="auto"/>
        <w:ind w:left="0" w:firstLine="0"/>
        <w:jc w:val="both"/>
        <w:rPr>
          <w:color w:val="ED7D31"/>
          <w:sz w:val="20"/>
          <w:szCs w:val="20"/>
        </w:rPr>
      </w:pPr>
      <w:bookmarkStart w:id="30" w:name="_Toc435189693"/>
      <w:bookmarkStart w:id="31" w:name="_Toc435202751"/>
      <w:bookmarkStart w:id="32" w:name="_Toc467598730"/>
      <w:r w:rsidRPr="00C7281C">
        <w:rPr>
          <w:color w:val="ED7D31"/>
          <w:sz w:val="20"/>
          <w:szCs w:val="20"/>
        </w:rPr>
        <w:t>C</w:t>
      </w:r>
      <w:bookmarkEnd w:id="30"/>
      <w:r w:rsidRPr="00C7281C">
        <w:rPr>
          <w:color w:val="ED7D31"/>
          <w:sz w:val="20"/>
          <w:szCs w:val="20"/>
        </w:rPr>
        <w:t>ONTROLE DO RISCO DE MERCADO</w:t>
      </w:r>
      <w:bookmarkEnd w:id="31"/>
      <w:bookmarkEnd w:id="32"/>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 xml:space="preserve">O RPPS adota o </w:t>
      </w:r>
      <w:r w:rsidRPr="001A464C">
        <w:rPr>
          <w:rFonts w:asciiTheme="majorHAnsi" w:hAnsiTheme="majorHAnsi"/>
          <w:b/>
          <w:bCs/>
          <w:color w:val="7F7F7F" w:themeColor="text1" w:themeTint="80"/>
          <w:sz w:val="20"/>
          <w:szCs w:val="20"/>
        </w:rPr>
        <w:t>VaR - Value-at-Risk</w:t>
      </w:r>
      <w:r w:rsidRPr="001A464C">
        <w:rPr>
          <w:rFonts w:asciiTheme="majorHAnsi" w:hAnsiTheme="majorHAnsi"/>
          <w:bCs/>
          <w:color w:val="7F7F7F" w:themeColor="text1" w:themeTint="80"/>
          <w:sz w:val="20"/>
          <w:szCs w:val="20"/>
        </w:rPr>
        <w:t xml:space="preserve"> para controle do risco de mercado, utilizando os seguintes parâmetros para o cálculo do mesmo:</w:t>
      </w:r>
      <w:r w:rsidRPr="001A464C">
        <w:rPr>
          <w:rFonts w:asciiTheme="majorHAnsi" w:eastAsia="Times New Roman" w:hAnsiTheme="majorHAnsi" w:cs="Calibri"/>
          <w:color w:val="000000"/>
          <w:sz w:val="20"/>
          <w:szCs w:val="20"/>
          <w:lang w:eastAsia="pt-BR"/>
        </w:rPr>
        <w:t xml:space="preserve"> </w:t>
      </w:r>
    </w:p>
    <w:p w:rsidR="00310039" w:rsidRDefault="008C01A0" w:rsidP="009C426F">
      <w:pPr>
        <w:numPr>
          <w:ilvl w:val="0"/>
          <w:numId w:val="9"/>
        </w:numPr>
        <w:spacing w:beforeLines="120" w:before="288" w:after="0" w:line="240" w:lineRule="auto"/>
        <w:ind w:left="0" w:firstLine="0"/>
        <w:jc w:val="both"/>
        <w:rPr>
          <w:rFonts w:asciiTheme="majorHAnsi" w:hAnsiTheme="majorHAnsi"/>
          <w:bCs/>
          <w:color w:val="7F7F7F" w:themeColor="text1" w:themeTint="80"/>
          <w:sz w:val="20"/>
          <w:szCs w:val="20"/>
        </w:rPr>
      </w:pPr>
      <w:r w:rsidRPr="00310039">
        <w:rPr>
          <w:rFonts w:asciiTheme="majorHAnsi" w:hAnsiTheme="majorHAnsi"/>
          <w:bCs/>
          <w:color w:val="7F7F7F" w:themeColor="text1" w:themeTint="80"/>
          <w:sz w:val="20"/>
          <w:szCs w:val="20"/>
        </w:rPr>
        <w:t>Modelo</w:t>
      </w:r>
      <w:r w:rsidR="00CB1E8E" w:rsidRPr="00310039">
        <w:rPr>
          <w:rFonts w:asciiTheme="majorHAnsi" w:hAnsiTheme="majorHAnsi"/>
          <w:bCs/>
          <w:color w:val="7F7F7F" w:themeColor="text1" w:themeTint="80"/>
          <w:sz w:val="20"/>
          <w:szCs w:val="20"/>
        </w:rPr>
        <w:t xml:space="preserve"> paramétrico;</w:t>
      </w:r>
    </w:p>
    <w:p w:rsidR="00CB1E8E" w:rsidRPr="00310039" w:rsidRDefault="00CB1E8E" w:rsidP="009C426F">
      <w:pPr>
        <w:numPr>
          <w:ilvl w:val="0"/>
          <w:numId w:val="9"/>
        </w:numPr>
        <w:spacing w:beforeLines="120" w:before="288" w:after="0" w:line="240" w:lineRule="auto"/>
        <w:ind w:left="0" w:firstLine="0"/>
        <w:jc w:val="both"/>
        <w:rPr>
          <w:rFonts w:asciiTheme="majorHAnsi" w:hAnsiTheme="majorHAnsi"/>
          <w:bCs/>
          <w:color w:val="7F7F7F" w:themeColor="text1" w:themeTint="80"/>
          <w:sz w:val="20"/>
          <w:szCs w:val="20"/>
        </w:rPr>
      </w:pPr>
      <w:r w:rsidRPr="00310039">
        <w:rPr>
          <w:rFonts w:asciiTheme="majorHAnsi" w:hAnsiTheme="majorHAnsi"/>
          <w:bCs/>
          <w:color w:val="7F7F7F" w:themeColor="text1" w:themeTint="80"/>
          <w:sz w:val="20"/>
          <w:szCs w:val="20"/>
        </w:rPr>
        <w:t>Intervalo de confiança de 95% (noventa e cinco por cento);</w:t>
      </w:r>
    </w:p>
    <w:p w:rsidR="00CB1E8E" w:rsidRPr="001A464C" w:rsidRDefault="00CB1E8E" w:rsidP="00310039">
      <w:pPr>
        <w:numPr>
          <w:ilvl w:val="0"/>
          <w:numId w:val="9"/>
        </w:numPr>
        <w:spacing w:beforeLines="120" w:before="288" w:after="0" w:line="240" w:lineRule="auto"/>
        <w:ind w:left="0" w:firstLine="0"/>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Horizonte temporal de 21 dias úteis.</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Como parâmetro de monitoramento para controle do risco de mercado dos ativos que co</w:t>
      </w:r>
      <w:r w:rsidR="004521E1" w:rsidRPr="001A464C">
        <w:rPr>
          <w:rFonts w:asciiTheme="majorHAnsi" w:hAnsiTheme="majorHAnsi"/>
          <w:bCs/>
          <w:color w:val="7F7F7F" w:themeColor="text1" w:themeTint="80"/>
          <w:sz w:val="20"/>
          <w:szCs w:val="20"/>
        </w:rPr>
        <w:t>mpõe a carteira, os membros do Comitê de I</w:t>
      </w:r>
      <w:r w:rsidRPr="001A464C">
        <w:rPr>
          <w:rFonts w:asciiTheme="majorHAnsi" w:hAnsiTheme="majorHAnsi"/>
          <w:bCs/>
          <w:color w:val="7F7F7F" w:themeColor="text1" w:themeTint="80"/>
          <w:sz w:val="20"/>
          <w:szCs w:val="20"/>
        </w:rPr>
        <w:t>nvestimentos deverão observar as referências abaixo estabelecidas e realizar reavaliação destes ativos sempre que as referências pré-estabelecidas forem ultrapassadas.</w:t>
      </w:r>
    </w:p>
    <w:p w:rsidR="00CB1E8E" w:rsidRPr="001A464C" w:rsidRDefault="00CB1E8E" w:rsidP="001A464C">
      <w:pPr>
        <w:numPr>
          <w:ilvl w:val="0"/>
          <w:numId w:val="9"/>
        </w:numPr>
        <w:spacing w:beforeLines="120" w:before="288" w:after="0" w:line="240" w:lineRule="auto"/>
        <w:ind w:left="0" w:firstLine="0"/>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Segmento de Renda Fixa: 3,5% (três e meio por cento) do valor alocado neste segmento.</w:t>
      </w:r>
    </w:p>
    <w:p w:rsidR="00CB1E8E" w:rsidRPr="001A464C" w:rsidRDefault="00CB1E8E" w:rsidP="001A464C">
      <w:pPr>
        <w:numPr>
          <w:ilvl w:val="0"/>
          <w:numId w:val="9"/>
        </w:numPr>
        <w:spacing w:beforeLines="120" w:before="288" w:after="0" w:line="240" w:lineRule="auto"/>
        <w:ind w:left="0" w:firstLine="0"/>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Segmento de Renda Variável: 15% (quinze por cento) do valor alocado neste segmento.</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Como instrumento adicional de controle, o RPPS monitora a rentabilidade do fundo em janelas temporais (mês, ano, três meses, seis meses, doze meses e vinte e quatro meses), verificando o alinhamento com o “benchmark” estabelecido na política de investimentos do fundo. Desvios significativos deverão s</w:t>
      </w:r>
      <w:r w:rsidR="004521E1" w:rsidRPr="001A464C">
        <w:rPr>
          <w:rFonts w:asciiTheme="majorHAnsi" w:hAnsiTheme="majorHAnsi"/>
          <w:bCs/>
          <w:color w:val="7F7F7F" w:themeColor="text1" w:themeTint="80"/>
          <w:sz w:val="20"/>
          <w:szCs w:val="20"/>
        </w:rPr>
        <w:t>er avaliados pelos membros do Comitê de I</w:t>
      </w:r>
      <w:r w:rsidRPr="001A464C">
        <w:rPr>
          <w:rFonts w:asciiTheme="majorHAnsi" w:hAnsiTheme="majorHAnsi"/>
          <w:bCs/>
          <w:color w:val="7F7F7F" w:themeColor="text1" w:themeTint="80"/>
          <w:sz w:val="20"/>
          <w:szCs w:val="20"/>
        </w:rPr>
        <w:t>nvestimentos do RPPS, que decidirá pela manutenção, ou não, do investimento.</w:t>
      </w:r>
    </w:p>
    <w:p w:rsidR="00CB1E8E" w:rsidRPr="00C7281C" w:rsidRDefault="00CB1E8E" w:rsidP="001A464C">
      <w:pPr>
        <w:pStyle w:val="Ttulo2"/>
        <w:numPr>
          <w:ilvl w:val="1"/>
          <w:numId w:val="6"/>
        </w:numPr>
        <w:spacing w:beforeLines="120" w:before="288" w:line="240" w:lineRule="auto"/>
        <w:ind w:left="0" w:firstLine="0"/>
        <w:jc w:val="both"/>
        <w:rPr>
          <w:color w:val="ED7D31"/>
          <w:sz w:val="20"/>
          <w:szCs w:val="20"/>
        </w:rPr>
      </w:pPr>
      <w:bookmarkStart w:id="33" w:name="_Toc435202752"/>
      <w:bookmarkStart w:id="34" w:name="_Toc467598731"/>
      <w:r w:rsidRPr="00C7281C">
        <w:rPr>
          <w:color w:val="ED7D31"/>
          <w:sz w:val="20"/>
          <w:szCs w:val="20"/>
        </w:rPr>
        <w:t>CONTROLE DO RISCO DE CRÉDITO</w:t>
      </w:r>
      <w:bookmarkEnd w:id="33"/>
      <w:bookmarkEnd w:id="34"/>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Na hipótese de aplicação de recursos financeiros do RPPS, em Fundos de Investimentos em Direitos Creditórios (FIDC) e Fundos de Investimentos em Cotas de Fundos de Investimentos em Direitos Creditórios (FICFIDC) serão considerados como de baixo risco os que estiverem de acordo com a tabela abaixo:</w:t>
      </w:r>
    </w:p>
    <w:p w:rsidR="00CB1E8E" w:rsidRPr="001A464C" w:rsidRDefault="00310039" w:rsidP="001A464C">
      <w:pPr>
        <w:spacing w:beforeLines="120" w:before="288" w:after="0" w:line="240" w:lineRule="auto"/>
        <w:jc w:val="both"/>
        <w:rPr>
          <w:rFonts w:asciiTheme="majorHAnsi" w:hAnsiTheme="majorHAnsi"/>
          <w:b/>
          <w:bCs/>
          <w:color w:val="7F7F7F" w:themeColor="text1" w:themeTint="80"/>
          <w:sz w:val="20"/>
          <w:szCs w:val="20"/>
        </w:rPr>
      </w:pPr>
      <w:r>
        <w:rPr>
          <w:rFonts w:asciiTheme="majorHAnsi" w:hAnsiTheme="majorHAnsi"/>
          <w:b/>
          <w:bCs/>
          <w:noProof/>
          <w:color w:val="7F7F7F" w:themeColor="text1" w:themeTint="80"/>
          <w:sz w:val="20"/>
          <w:szCs w:val="20"/>
          <w:lang w:eastAsia="pt-BR"/>
        </w:rPr>
        <w:lastRenderedPageBreak/>
        <w:drawing>
          <wp:inline distT="0" distB="0" distL="0" distR="0">
            <wp:extent cx="5398770" cy="1390015"/>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8770" cy="1390015"/>
                    </a:xfrm>
                    <a:prstGeom prst="rect">
                      <a:avLst/>
                    </a:prstGeom>
                    <a:noFill/>
                    <a:ln>
                      <a:noFill/>
                    </a:ln>
                  </pic:spPr>
                </pic:pic>
              </a:graphicData>
            </a:graphic>
          </wp:inline>
        </w:drawing>
      </w:r>
    </w:p>
    <w:p w:rsidR="009468AE" w:rsidRPr="001A464C" w:rsidRDefault="00CB1E8E" w:rsidP="00F52A76">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As agências classificadoras de risco supracitadas estão devidamente autorizadas a operar no Brasil e utilizam o sistema de “rating” para classificar o nível de risco de uma instituição, fundo de investimentos e dos ativos integrantes de sua carteira.</w:t>
      </w:r>
    </w:p>
    <w:p w:rsidR="00CB1E8E" w:rsidRPr="00C7281C" w:rsidRDefault="00CB1E8E" w:rsidP="001A464C">
      <w:pPr>
        <w:pStyle w:val="Ttulo2"/>
        <w:numPr>
          <w:ilvl w:val="1"/>
          <w:numId w:val="6"/>
        </w:numPr>
        <w:spacing w:beforeLines="120" w:before="288" w:line="240" w:lineRule="auto"/>
        <w:ind w:left="0" w:firstLine="0"/>
        <w:jc w:val="both"/>
        <w:rPr>
          <w:color w:val="ED7D31"/>
          <w:sz w:val="20"/>
          <w:szCs w:val="20"/>
        </w:rPr>
      </w:pPr>
      <w:bookmarkStart w:id="35" w:name="_Toc435189695"/>
      <w:bookmarkStart w:id="36" w:name="_Toc435202753"/>
      <w:bookmarkStart w:id="37" w:name="_Toc467598732"/>
      <w:r w:rsidRPr="00C7281C">
        <w:rPr>
          <w:color w:val="ED7D31"/>
          <w:sz w:val="20"/>
          <w:szCs w:val="20"/>
        </w:rPr>
        <w:t xml:space="preserve">CONTROLE DO RISCO DE </w:t>
      </w:r>
      <w:bookmarkEnd w:id="35"/>
      <w:r w:rsidRPr="00C7281C">
        <w:rPr>
          <w:color w:val="ED7D31"/>
          <w:sz w:val="20"/>
          <w:szCs w:val="20"/>
        </w:rPr>
        <w:t>LIQUIDEZ</w:t>
      </w:r>
      <w:bookmarkEnd w:id="36"/>
      <w:bookmarkEnd w:id="37"/>
      <w:r w:rsidRPr="00C7281C">
        <w:rPr>
          <w:color w:val="ED7D31"/>
          <w:sz w:val="20"/>
          <w:szCs w:val="20"/>
        </w:rPr>
        <w:t xml:space="preserve"> </w:t>
      </w:r>
    </w:p>
    <w:p w:rsidR="00CB1E8E"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Nas aplicações em fundos de investimentos constituídos sob a forma de condomínio fechado, e nas aplicações cuja soma do prazo de carência (se houver) acrescido ao prazo de convers</w:t>
      </w:r>
      <w:r w:rsidR="00AB160C" w:rsidRPr="001A464C">
        <w:rPr>
          <w:rFonts w:asciiTheme="majorHAnsi" w:hAnsiTheme="majorHAnsi"/>
          <w:bCs/>
          <w:color w:val="7F7F7F" w:themeColor="text1" w:themeTint="80"/>
          <w:sz w:val="20"/>
          <w:szCs w:val="20"/>
        </w:rPr>
        <w:t>ão de cotas ultrapassarem em 36</w:t>
      </w:r>
      <w:r w:rsidR="00F52A76">
        <w:rPr>
          <w:rFonts w:asciiTheme="majorHAnsi" w:hAnsiTheme="majorHAnsi"/>
          <w:bCs/>
          <w:color w:val="7F7F7F" w:themeColor="text1" w:themeTint="80"/>
          <w:sz w:val="20"/>
          <w:szCs w:val="20"/>
        </w:rPr>
        <w:t>5</w:t>
      </w:r>
      <w:r w:rsidRPr="001A464C">
        <w:rPr>
          <w:rFonts w:asciiTheme="majorHAnsi" w:hAnsiTheme="majorHAnsi"/>
          <w:bCs/>
          <w:color w:val="7F7F7F" w:themeColor="text1" w:themeTint="80"/>
          <w:sz w:val="20"/>
          <w:szCs w:val="20"/>
        </w:rPr>
        <w:t xml:space="preserve"> dias, a aprovação do investimento deverá ser precedida de uma análise que evidencie a capacidade do RPPS em arcar com o fluxo de despesas necessárias ao cumprimento de suas obrigações atuariais, até a data da disponibilização dos recursos investidos.</w:t>
      </w:r>
    </w:p>
    <w:p w:rsidR="00310039" w:rsidRPr="001A464C" w:rsidRDefault="00310039" w:rsidP="001A464C">
      <w:pPr>
        <w:spacing w:beforeLines="120" w:before="288" w:after="0" w:line="240" w:lineRule="auto"/>
        <w:jc w:val="both"/>
        <w:rPr>
          <w:rFonts w:asciiTheme="majorHAnsi" w:hAnsiTheme="majorHAnsi"/>
          <w:bCs/>
          <w:color w:val="7F7F7F" w:themeColor="text1" w:themeTint="80"/>
          <w:sz w:val="20"/>
          <w:szCs w:val="20"/>
        </w:rPr>
      </w:pPr>
    </w:p>
    <w:p w:rsidR="00CB1E8E" w:rsidRPr="00C7281C" w:rsidRDefault="00CB1E8E" w:rsidP="001A464C">
      <w:pPr>
        <w:keepNext/>
        <w:keepLines/>
        <w:numPr>
          <w:ilvl w:val="0"/>
          <w:numId w:val="6"/>
        </w:numPr>
        <w:spacing w:beforeLines="120" w:before="288" w:after="0" w:line="240" w:lineRule="auto"/>
        <w:ind w:left="0" w:firstLine="0"/>
        <w:jc w:val="both"/>
        <w:rPr>
          <w:rFonts w:asciiTheme="majorHAnsi" w:eastAsiaTheme="majorEastAsia" w:hAnsiTheme="majorHAnsi" w:cstheme="majorBidi"/>
          <w:b/>
          <w:color w:val="ED7D31"/>
          <w:sz w:val="20"/>
          <w:szCs w:val="20"/>
          <w:u w:val="single"/>
        </w:rPr>
      </w:pPr>
      <w:bookmarkStart w:id="38" w:name="_Toc435189696"/>
      <w:bookmarkStart w:id="39" w:name="_Toc435202754"/>
      <w:r w:rsidRPr="00C7281C">
        <w:rPr>
          <w:rFonts w:asciiTheme="majorHAnsi" w:eastAsiaTheme="majorEastAsia" w:hAnsiTheme="majorHAnsi" w:cstheme="majorBidi"/>
          <w:b/>
          <w:color w:val="ED7D31"/>
          <w:sz w:val="20"/>
          <w:szCs w:val="20"/>
          <w:u w:val="single"/>
        </w:rPr>
        <w:t>P</w:t>
      </w:r>
      <w:bookmarkEnd w:id="38"/>
      <w:r w:rsidRPr="00C7281C">
        <w:rPr>
          <w:rFonts w:asciiTheme="majorHAnsi" w:eastAsiaTheme="majorEastAsia" w:hAnsiTheme="majorHAnsi" w:cstheme="majorBidi"/>
          <w:b/>
          <w:color w:val="ED7D31"/>
          <w:sz w:val="20"/>
          <w:szCs w:val="20"/>
          <w:u w:val="single"/>
        </w:rPr>
        <w:t>OLÍTICA DE TRANSPARÊNCIA</w:t>
      </w:r>
      <w:bookmarkEnd w:id="39"/>
    </w:p>
    <w:p w:rsidR="00CB1E8E"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As informações contidas na Política de Investimentos e em suas revisões deverão ser disponibilizadas aos interessados, no prazo de trinta dias, contados de sua aprovação, observados os critérios estabelecidos pelo Ministério da Previdência Social. À vista da exigência contida no art. 4º, incisos I, II, III e IV, parágrafo primeiro e segundo e ainda, art. 5º da Resolução CMN nº 3.922/2010, a Política de Investimentos deverá ser disponibilizada no site do RPPS, Diário Oficial do Município ou em local de fácil acesso e visualização, sem prejuízo de outros canais oficiais de comunicação.</w:t>
      </w:r>
    </w:p>
    <w:p w:rsidR="00C84457" w:rsidRPr="001A464C" w:rsidRDefault="00C84457" w:rsidP="001A464C">
      <w:pPr>
        <w:spacing w:beforeLines="120" w:before="288" w:after="0" w:line="240" w:lineRule="auto"/>
        <w:jc w:val="both"/>
        <w:rPr>
          <w:rFonts w:asciiTheme="majorHAnsi" w:hAnsiTheme="majorHAnsi"/>
          <w:bCs/>
          <w:color w:val="7F7F7F" w:themeColor="text1" w:themeTint="80"/>
          <w:sz w:val="20"/>
          <w:szCs w:val="20"/>
        </w:rPr>
      </w:pPr>
    </w:p>
    <w:p w:rsidR="00CB1E8E" w:rsidRPr="00C7281C" w:rsidRDefault="00CB1E8E" w:rsidP="001A464C">
      <w:pPr>
        <w:keepNext/>
        <w:keepLines/>
        <w:numPr>
          <w:ilvl w:val="0"/>
          <w:numId w:val="6"/>
        </w:numPr>
        <w:spacing w:beforeLines="120" w:before="288" w:after="0" w:line="240" w:lineRule="auto"/>
        <w:ind w:left="0" w:firstLine="0"/>
        <w:jc w:val="both"/>
        <w:rPr>
          <w:rFonts w:asciiTheme="majorHAnsi" w:eastAsiaTheme="majorEastAsia" w:hAnsiTheme="majorHAnsi" w:cstheme="majorBidi"/>
          <w:b/>
          <w:color w:val="ED7D31"/>
          <w:sz w:val="20"/>
          <w:szCs w:val="20"/>
          <w:u w:val="single"/>
        </w:rPr>
      </w:pPr>
      <w:bookmarkStart w:id="40" w:name="_Toc435189697"/>
      <w:bookmarkStart w:id="41" w:name="_Toc435202755"/>
      <w:r w:rsidRPr="00C7281C">
        <w:rPr>
          <w:rFonts w:asciiTheme="majorHAnsi" w:eastAsiaTheme="majorEastAsia" w:hAnsiTheme="majorHAnsi" w:cstheme="majorBidi"/>
          <w:b/>
          <w:color w:val="ED7D31"/>
          <w:sz w:val="20"/>
          <w:szCs w:val="20"/>
          <w:u w:val="single"/>
        </w:rPr>
        <w:t>CRITÉRIOS PARA CREDENCIAMENTO</w:t>
      </w:r>
      <w:bookmarkEnd w:id="40"/>
      <w:bookmarkEnd w:id="41"/>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 xml:space="preserve">Seguindo a Portaria MPS nº 519, de 24 de agosto de 2011, na gestão própria, antes da realização de qualquer operação, o RPPS, na figura de seu Comitê de Investimentos, deverá assegurar que as instituições </w:t>
      </w:r>
      <w:r w:rsidR="00BB4CBE" w:rsidRPr="001A464C">
        <w:rPr>
          <w:rFonts w:asciiTheme="majorHAnsi" w:hAnsiTheme="majorHAnsi"/>
          <w:bCs/>
          <w:color w:val="7F7F7F" w:themeColor="text1" w:themeTint="80"/>
          <w:sz w:val="20"/>
          <w:szCs w:val="20"/>
        </w:rPr>
        <w:t xml:space="preserve">financeiras </w:t>
      </w:r>
      <w:r w:rsidRPr="001A464C">
        <w:rPr>
          <w:rFonts w:asciiTheme="majorHAnsi" w:hAnsiTheme="majorHAnsi"/>
          <w:bCs/>
          <w:color w:val="7F7F7F" w:themeColor="text1" w:themeTint="80"/>
          <w:sz w:val="20"/>
          <w:szCs w:val="20"/>
        </w:rPr>
        <w:t>escolhidas para receber as aplicações tenham sido objeto de prévio credenciamento.</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Para tal credenciamento, deverão ser observados, e formalmente atestados pelo representante legal do RPPS e submetido à aprovação do Comitê de Investimentos, no mínimo, quesitos como:</w:t>
      </w:r>
    </w:p>
    <w:p w:rsidR="00BB4CBE" w:rsidRPr="001A464C" w:rsidRDefault="00CB1E8E" w:rsidP="001A464C">
      <w:pPr>
        <w:pStyle w:val="PargrafodaLista"/>
        <w:numPr>
          <w:ilvl w:val="0"/>
          <w:numId w:val="15"/>
        </w:numPr>
        <w:spacing w:beforeLines="120" w:before="288" w:after="0" w:line="240" w:lineRule="auto"/>
        <w:ind w:left="0" w:firstLine="0"/>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atos de registro ou autorização para funcionamento expedido pelo Banco Central do Brasil ou Comissão de Valores Mobiliários ou órgão competente;</w:t>
      </w:r>
    </w:p>
    <w:p w:rsidR="00BB4CBE" w:rsidRPr="001A464C" w:rsidRDefault="00BB4CBE" w:rsidP="001A464C">
      <w:pPr>
        <w:pStyle w:val="PargrafodaLista"/>
        <w:spacing w:beforeLines="120" w:before="288" w:after="0" w:line="240" w:lineRule="auto"/>
        <w:ind w:left="0"/>
        <w:jc w:val="both"/>
        <w:rPr>
          <w:rFonts w:asciiTheme="majorHAnsi" w:hAnsiTheme="majorHAnsi"/>
          <w:bCs/>
          <w:color w:val="7F7F7F" w:themeColor="text1" w:themeTint="80"/>
          <w:sz w:val="20"/>
          <w:szCs w:val="20"/>
        </w:rPr>
      </w:pPr>
    </w:p>
    <w:p w:rsidR="00BB4CBE" w:rsidRPr="001A464C" w:rsidRDefault="00CB1E8E" w:rsidP="001A464C">
      <w:pPr>
        <w:pStyle w:val="PargrafodaLista"/>
        <w:numPr>
          <w:ilvl w:val="0"/>
          <w:numId w:val="15"/>
        </w:numPr>
        <w:spacing w:beforeLines="120" w:before="288" w:after="0" w:line="240" w:lineRule="auto"/>
        <w:ind w:left="0" w:firstLine="0"/>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lastRenderedPageBreak/>
        <w:t>observação de elevado padrão ético de conduta nas operações realizadas no mercado financeiro e ausência de restrições que, a critério do Banco Central do Brasil, da Comissão de Valores Mobiliários ou de outros órgãos competentes desaconselhem um relacionamento seguro;</w:t>
      </w:r>
    </w:p>
    <w:p w:rsidR="00BB4CBE" w:rsidRPr="001A464C" w:rsidRDefault="00BB4CBE" w:rsidP="001A464C">
      <w:pPr>
        <w:pStyle w:val="PargrafodaLista"/>
        <w:spacing w:beforeLines="120" w:before="288" w:after="0" w:line="240" w:lineRule="auto"/>
        <w:ind w:left="0"/>
        <w:jc w:val="both"/>
        <w:rPr>
          <w:rFonts w:asciiTheme="majorHAnsi" w:hAnsiTheme="majorHAnsi"/>
          <w:bCs/>
          <w:color w:val="7F7F7F" w:themeColor="text1" w:themeTint="80"/>
          <w:sz w:val="20"/>
          <w:szCs w:val="20"/>
        </w:rPr>
      </w:pPr>
    </w:p>
    <w:p w:rsidR="00CB1E8E" w:rsidRPr="001A464C" w:rsidRDefault="00CB1E8E" w:rsidP="001A464C">
      <w:pPr>
        <w:pStyle w:val="PargrafodaLista"/>
        <w:numPr>
          <w:ilvl w:val="0"/>
          <w:numId w:val="15"/>
        </w:numPr>
        <w:spacing w:beforeLines="120" w:before="288" w:after="0" w:line="240" w:lineRule="auto"/>
        <w:ind w:left="0" w:firstLine="0"/>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regularidade fiscal e previdenciária.</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Quando se tratar de fundos de investimento, o credenciamento previsto recairá sobre a figura do gestor e do administrador do fundo.</w:t>
      </w:r>
    </w:p>
    <w:p w:rsidR="00CB1E8E" w:rsidRPr="00C7281C" w:rsidRDefault="00CB1E8E" w:rsidP="001A464C">
      <w:pPr>
        <w:pStyle w:val="Ttulo2"/>
        <w:numPr>
          <w:ilvl w:val="1"/>
          <w:numId w:val="6"/>
        </w:numPr>
        <w:spacing w:beforeLines="120" w:before="288" w:line="240" w:lineRule="auto"/>
        <w:ind w:left="0" w:firstLine="0"/>
        <w:jc w:val="both"/>
        <w:rPr>
          <w:color w:val="ED7D31"/>
          <w:sz w:val="20"/>
          <w:szCs w:val="20"/>
        </w:rPr>
      </w:pPr>
      <w:bookmarkStart w:id="42" w:name="_Toc435202756"/>
      <w:bookmarkStart w:id="43" w:name="_Toc467598733"/>
      <w:r w:rsidRPr="00C7281C">
        <w:rPr>
          <w:color w:val="ED7D31"/>
          <w:sz w:val="20"/>
          <w:szCs w:val="20"/>
        </w:rPr>
        <w:t>PROCESSO DE SELEÇÃO E AVALIAÇÃO DE GESTORES/ADMINISTRADORES</w:t>
      </w:r>
      <w:bookmarkEnd w:id="42"/>
      <w:bookmarkEnd w:id="43"/>
    </w:p>
    <w:p w:rsidR="00BB4CB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Nos processos de seleção dos Gestores/Administradores, devem ser considerados os aspectos qualitativos e quantitativos, tendo como parâmetro de análise no mínimo:</w:t>
      </w:r>
    </w:p>
    <w:p w:rsidR="00BB4CBE" w:rsidRPr="001A464C" w:rsidRDefault="00BB4CBE" w:rsidP="001A464C">
      <w:pPr>
        <w:pStyle w:val="PargrafodaLista"/>
        <w:numPr>
          <w:ilvl w:val="0"/>
          <w:numId w:val="14"/>
        </w:numPr>
        <w:spacing w:beforeLines="120" w:before="288" w:after="0" w:line="240" w:lineRule="auto"/>
        <w:ind w:left="0" w:firstLine="0"/>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Tradição e Credibilidade da Instituição – envolvendo volume de recursos administrados e geridos, no Brasil e no exterior, capacitação profissional dos agentes envolvidos na administração e gestão de investimentos do fundo, que incluem formação acadêmica continuada, certificações, reconhecimento público etc., tempo de atuação e maturidade desses agentes na atividade, regularidade da manutenção da equipe, com base na rotatividade dos profissionais e na tempestividade na reposição, além de outras informações relacionadas com a administração e gestão de investimentos que permitam identificar a cultura fiduciária da instituição e seu compromisso com princípios de responsabilidade nos investimentos e de governança;</w:t>
      </w:r>
    </w:p>
    <w:p w:rsidR="00BB4CBE" w:rsidRPr="001A464C" w:rsidRDefault="00BB4CBE" w:rsidP="001A464C">
      <w:pPr>
        <w:pStyle w:val="PargrafodaLista"/>
        <w:spacing w:beforeLines="120" w:before="288" w:after="0" w:line="240" w:lineRule="auto"/>
        <w:ind w:left="0"/>
        <w:jc w:val="both"/>
        <w:rPr>
          <w:rFonts w:asciiTheme="majorHAnsi" w:hAnsiTheme="majorHAnsi"/>
          <w:bCs/>
          <w:color w:val="7F7F7F" w:themeColor="text1" w:themeTint="80"/>
          <w:sz w:val="20"/>
          <w:szCs w:val="20"/>
        </w:rPr>
      </w:pPr>
    </w:p>
    <w:p w:rsidR="00BB4CBE" w:rsidRPr="001A464C" w:rsidRDefault="00BB4CBE" w:rsidP="001A464C">
      <w:pPr>
        <w:pStyle w:val="PargrafodaLista"/>
        <w:numPr>
          <w:ilvl w:val="0"/>
          <w:numId w:val="14"/>
        </w:numPr>
        <w:spacing w:beforeLines="120" w:before="288" w:after="0" w:line="240" w:lineRule="auto"/>
        <w:ind w:left="0" w:firstLine="0"/>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Gestão do Risco – envolvendo qualidade e consistência dos processos de administração e gestão, em especial aos riscos de crédito – quando aplicável – liquidez, mercado, legal e operacional, efetividade dos controles internos, envolvendo, ainda, o uso de ferramentas, softwares e consultorias especializadas, regularidade na prestação de informações, atuação da área de “compliance”, capacitação profissional dos agentes envolvidos na administração e gestão de risco do fundo, que incluem formação acadêmica continuada, certificações, reconhecimento público etc., tempo de atuação e maturidade desses agentes na atividade, regularidade da manutenção da equipe de risco, com base na rotatividade dos profissionais e na tempestividade na reposição, além de outras informações relacionadas com a administração e gestão do risco.</w:t>
      </w:r>
    </w:p>
    <w:p w:rsidR="00BB4CBE" w:rsidRPr="001A464C" w:rsidRDefault="00BB4CBE" w:rsidP="001A464C">
      <w:pPr>
        <w:pStyle w:val="PargrafodaLista"/>
        <w:spacing w:beforeLines="120" w:before="288" w:after="0" w:line="240" w:lineRule="auto"/>
        <w:ind w:left="0"/>
        <w:jc w:val="both"/>
        <w:rPr>
          <w:rFonts w:asciiTheme="majorHAnsi" w:hAnsiTheme="majorHAnsi"/>
          <w:bCs/>
          <w:color w:val="7F7F7F" w:themeColor="text1" w:themeTint="80"/>
          <w:sz w:val="20"/>
          <w:szCs w:val="20"/>
        </w:rPr>
      </w:pPr>
    </w:p>
    <w:p w:rsidR="00BB4CBE" w:rsidRPr="001A464C" w:rsidRDefault="00BB4CBE" w:rsidP="001A464C">
      <w:pPr>
        <w:pStyle w:val="PargrafodaLista"/>
        <w:numPr>
          <w:ilvl w:val="0"/>
          <w:numId w:val="14"/>
        </w:numPr>
        <w:spacing w:beforeLines="120" w:before="288" w:after="0" w:line="240" w:lineRule="auto"/>
        <w:ind w:left="0" w:firstLine="0"/>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Avaliação de aderência dos Fundos aos indicadores de desempenho (Benchmark) e riscos – envolvendo a correlação da rentabilidade com seus objetivos e a consistência na entrega de resultados no período mínimo de dois anos anteriores ao credenciamento;</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Entende-se que os fundos possuem uma gestão discricionária, na qual o gestor decide pelos investimentos que vai realizar, desde que respeitando o regulamento do fundo e as normas aplicáveis aos RPPS.</w:t>
      </w:r>
    </w:p>
    <w:p w:rsidR="00BB4F6B" w:rsidRPr="001A464C" w:rsidRDefault="00BB4F6B"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O Credenciamento se dará, única e exclusivamente, de forma digital, inclusive na apresentação da documentação e Certidões requisitadas, por meio do sistema ele</w:t>
      </w:r>
      <w:r w:rsidR="00270C08" w:rsidRPr="001A464C">
        <w:rPr>
          <w:rFonts w:asciiTheme="majorHAnsi" w:hAnsiTheme="majorHAnsi"/>
          <w:bCs/>
          <w:color w:val="7F7F7F" w:themeColor="text1" w:themeTint="80"/>
          <w:sz w:val="20"/>
          <w:szCs w:val="20"/>
        </w:rPr>
        <w:t>trônico utilizado pelo RPPS</w:t>
      </w:r>
      <w:r w:rsidRPr="001A464C">
        <w:rPr>
          <w:rFonts w:asciiTheme="majorHAnsi" w:hAnsiTheme="majorHAnsi"/>
          <w:bCs/>
          <w:color w:val="7F7F7F" w:themeColor="text1" w:themeTint="80"/>
          <w:sz w:val="20"/>
          <w:szCs w:val="20"/>
        </w:rPr>
        <w:t xml:space="preserve"> conforme procedimento:</w:t>
      </w:r>
    </w:p>
    <w:p w:rsidR="00BB4F6B" w:rsidRPr="001A464C" w:rsidRDefault="00BB4F6B" w:rsidP="001A464C">
      <w:pPr>
        <w:pStyle w:val="PargrafodaLista"/>
        <w:numPr>
          <w:ilvl w:val="0"/>
          <w:numId w:val="16"/>
        </w:numPr>
        <w:spacing w:beforeLines="120" w:before="288" w:after="0" w:line="240" w:lineRule="auto"/>
        <w:ind w:left="0" w:firstLine="0"/>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 xml:space="preserve">As Instituições Gestoras e Administradoras de Fundos de Investimentos, deverão enviar um e-mail, para o endereço </w:t>
      </w:r>
      <w:hyperlink r:id="rId11" w:history="1">
        <w:r w:rsidRPr="001A464C">
          <w:rPr>
            <w:rFonts w:asciiTheme="majorHAnsi" w:hAnsiTheme="majorHAnsi"/>
            <w:bCs/>
            <w:color w:val="7F7F7F" w:themeColor="text1" w:themeTint="80"/>
            <w:sz w:val="20"/>
            <w:szCs w:val="20"/>
          </w:rPr>
          <w:t>contato@siru.com.br</w:t>
        </w:r>
      </w:hyperlink>
      <w:r w:rsidRPr="001A464C">
        <w:rPr>
          <w:rFonts w:asciiTheme="majorHAnsi" w:hAnsiTheme="majorHAnsi"/>
          <w:bCs/>
          <w:color w:val="7F7F7F" w:themeColor="text1" w:themeTint="80"/>
          <w:sz w:val="20"/>
          <w:szCs w:val="20"/>
        </w:rPr>
        <w:t>, solicitando formalmente, o envio de “Login” e “Senha de Acesso” para poder efetuar o Credenciamento;</w:t>
      </w:r>
    </w:p>
    <w:p w:rsidR="00BB4F6B" w:rsidRPr="001A464C" w:rsidRDefault="00BB4F6B" w:rsidP="001A464C">
      <w:pPr>
        <w:pStyle w:val="PargrafodaLista"/>
        <w:spacing w:beforeLines="120" w:before="288" w:after="0" w:line="240" w:lineRule="auto"/>
        <w:ind w:left="0"/>
        <w:jc w:val="both"/>
        <w:rPr>
          <w:rFonts w:asciiTheme="majorHAnsi" w:hAnsiTheme="majorHAnsi"/>
          <w:bCs/>
          <w:color w:val="7F7F7F" w:themeColor="text1" w:themeTint="80"/>
          <w:sz w:val="20"/>
          <w:szCs w:val="20"/>
        </w:rPr>
      </w:pPr>
    </w:p>
    <w:p w:rsidR="00BB4F6B" w:rsidRPr="001A464C" w:rsidRDefault="00BB4F6B" w:rsidP="001A464C">
      <w:pPr>
        <w:pStyle w:val="PargrafodaLista"/>
        <w:numPr>
          <w:ilvl w:val="0"/>
          <w:numId w:val="16"/>
        </w:numPr>
        <w:spacing w:beforeLines="120" w:before="288" w:after="0" w:line="240" w:lineRule="auto"/>
        <w:ind w:left="0" w:firstLine="0"/>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lastRenderedPageBreak/>
        <w:t>O “Login” e a “Senha de Acesso” será disponibilizado, também por e-mail enviado a Instituição Interessada, em até 24 (vinte e quatro) horas úteis, do recebimento do e-mail de requisição do item anterior;</w:t>
      </w:r>
    </w:p>
    <w:p w:rsidR="00BB4F6B" w:rsidRPr="001A464C" w:rsidRDefault="00BB4F6B" w:rsidP="001A464C">
      <w:pPr>
        <w:pStyle w:val="PargrafodaLista"/>
        <w:spacing w:beforeLines="120" w:before="288" w:after="0" w:line="240" w:lineRule="auto"/>
        <w:ind w:left="0"/>
        <w:jc w:val="both"/>
        <w:rPr>
          <w:rFonts w:asciiTheme="majorHAnsi" w:hAnsiTheme="majorHAnsi"/>
          <w:bCs/>
          <w:color w:val="7F7F7F" w:themeColor="text1" w:themeTint="80"/>
          <w:sz w:val="20"/>
          <w:szCs w:val="20"/>
        </w:rPr>
      </w:pPr>
    </w:p>
    <w:p w:rsidR="00BB4F6B" w:rsidRPr="001A464C" w:rsidRDefault="00BB4F6B" w:rsidP="001A464C">
      <w:pPr>
        <w:pStyle w:val="PargrafodaLista"/>
        <w:numPr>
          <w:ilvl w:val="0"/>
          <w:numId w:val="16"/>
        </w:numPr>
        <w:spacing w:beforeLines="120" w:before="288" w:after="0" w:line="240" w:lineRule="auto"/>
        <w:ind w:left="0" w:firstLine="0"/>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 xml:space="preserve">De posse do “Login” e da “Senha de Acesso”, as Instituições Gestoras e Administradoras de Fundos de Investimentos deverão acessar o Portal </w:t>
      </w:r>
      <w:hyperlink r:id="rId12" w:history="1">
        <w:r w:rsidRPr="001A464C">
          <w:rPr>
            <w:rFonts w:asciiTheme="majorHAnsi" w:hAnsiTheme="majorHAnsi"/>
            <w:bCs/>
            <w:color w:val="7F7F7F" w:themeColor="text1" w:themeTint="80"/>
            <w:sz w:val="20"/>
            <w:szCs w:val="20"/>
          </w:rPr>
          <w:t>www.siru.com.br</w:t>
        </w:r>
      </w:hyperlink>
      <w:r w:rsidRPr="001A464C">
        <w:rPr>
          <w:rFonts w:asciiTheme="majorHAnsi" w:hAnsiTheme="majorHAnsi"/>
          <w:bCs/>
          <w:color w:val="7F7F7F" w:themeColor="text1" w:themeTint="80"/>
          <w:sz w:val="20"/>
          <w:szCs w:val="20"/>
        </w:rPr>
        <w:t>, acessar o sistema no tópico “Acesso Restrito”, anexar a documentação e preencher os dados dispostos neste edital e requisitados no sistema, seguindo as instruções disponibilizadas no Anexo I.</w:t>
      </w:r>
    </w:p>
    <w:p w:rsidR="00CB1E8E" w:rsidRPr="001A464C" w:rsidRDefault="00BB4F6B"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Encontra-se qualificado para participar do processo seletivo qualquer empresa gestora de recursos financeiros autorizada a funcionar pelo órgão regulador (Banco Central do Brasil ou Comissão de Valores Mobiliários), sendo considerada como elegível a gestora/administradora que atender ao critério de avaliação de Qualidade de Gestão dos Investimentos.</w:t>
      </w:r>
    </w:p>
    <w:p w:rsidR="00CB1E8E" w:rsidRPr="001A464C" w:rsidRDefault="00CB1E8E" w:rsidP="001A464C">
      <w:pPr>
        <w:spacing w:beforeLines="120" w:before="288" w:after="0" w:line="240" w:lineRule="auto"/>
        <w:jc w:val="both"/>
        <w:rPr>
          <w:rFonts w:asciiTheme="majorHAnsi" w:eastAsiaTheme="majorEastAsia" w:hAnsiTheme="majorHAnsi" w:cstheme="majorBidi"/>
          <w:b/>
          <w:color w:val="008080"/>
          <w:sz w:val="20"/>
          <w:szCs w:val="20"/>
          <w:u w:val="single"/>
        </w:rPr>
      </w:pPr>
    </w:p>
    <w:p w:rsidR="00CB1E8E" w:rsidRPr="00C7281C" w:rsidRDefault="00CB1E8E" w:rsidP="001A464C">
      <w:pPr>
        <w:keepNext/>
        <w:keepLines/>
        <w:numPr>
          <w:ilvl w:val="0"/>
          <w:numId w:val="6"/>
        </w:numPr>
        <w:spacing w:beforeLines="120" w:before="288" w:after="0" w:line="240" w:lineRule="auto"/>
        <w:ind w:left="0" w:firstLine="0"/>
        <w:jc w:val="both"/>
        <w:rPr>
          <w:rFonts w:asciiTheme="majorHAnsi" w:eastAsiaTheme="majorEastAsia" w:hAnsiTheme="majorHAnsi" w:cstheme="majorBidi"/>
          <w:b/>
          <w:color w:val="ED7D31"/>
          <w:sz w:val="20"/>
          <w:szCs w:val="20"/>
          <w:u w:val="single"/>
        </w:rPr>
      </w:pPr>
      <w:r w:rsidRPr="00C7281C">
        <w:rPr>
          <w:rFonts w:asciiTheme="majorHAnsi" w:eastAsiaTheme="majorEastAsia" w:hAnsiTheme="majorHAnsi" w:cstheme="majorBidi"/>
          <w:b/>
          <w:color w:val="ED7D31"/>
          <w:sz w:val="20"/>
          <w:szCs w:val="20"/>
        </w:rPr>
        <w:t xml:space="preserve">    </w:t>
      </w:r>
      <w:bookmarkStart w:id="44" w:name="_Toc435189700"/>
      <w:bookmarkStart w:id="45" w:name="_Toc435202758"/>
      <w:r w:rsidRPr="00C7281C">
        <w:rPr>
          <w:rFonts w:asciiTheme="majorHAnsi" w:eastAsiaTheme="majorEastAsia" w:hAnsiTheme="majorHAnsi" w:cstheme="majorBidi"/>
          <w:b/>
          <w:color w:val="ED7D31"/>
          <w:sz w:val="20"/>
          <w:szCs w:val="20"/>
          <w:u w:val="single"/>
        </w:rPr>
        <w:t>C</w:t>
      </w:r>
      <w:bookmarkEnd w:id="44"/>
      <w:r w:rsidRPr="00C7281C">
        <w:rPr>
          <w:rFonts w:asciiTheme="majorHAnsi" w:eastAsiaTheme="majorEastAsia" w:hAnsiTheme="majorHAnsi" w:cstheme="majorBidi"/>
          <w:b/>
          <w:color w:val="ED7D31"/>
          <w:sz w:val="20"/>
          <w:szCs w:val="20"/>
          <w:u w:val="single"/>
        </w:rPr>
        <w:t>ONTROLES INTERNOS</w:t>
      </w:r>
      <w:bookmarkEnd w:id="45"/>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Antes das aplicações, a gestão do RPPS deverá verificar, no mínimo, aspectos como: enquadramento do produto quanto às exigências legais, seu histórico de rentabilidade, riscos e perspectiva de rentabilidade satisfatória no horizonte de tempo.</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 xml:space="preserve">Todos os ativos e valores mobiliários adquiridos pelo RPPS deverão ser registrados nos Sistemas de Liquidação e Custódia: SELIC, CETIP ou Câmaras de Compensação autorizadas pela CVM. </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A gestão do RPPS sempre fará a comparação dos investimentos com a sua meta atuarial para identificar aqueles com rentabilidade insatisfatória, ou inadequação ao cenário econômico, visando possíveis indicações de solicitação de resgate.</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Com base nas determinações da Portaria MPS nº 170, de 26 de abril de 2012, alterada pela Portaria MPS nº 440, de 09 de outubro de 2013, foi instituído o Comitê de Investimentos no âmbito do RPPS, com a finalidade de participar no processo decisório quanto à formulação e execução da política de investimentos, resgates e aplicações dos recursos financeiros resultantes de repasses de contribuições previdenciárias dos órgãos patrocinadores, de servidores ativos, inativos e pensionistas, bem como de outras receitas do RPPS.</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 xml:space="preserve">Compete ao Comitê de Investimentos, orientar a aplicação dos recursos financeiros e a operacionalização da Política de Investimentos do RPPS. Ainda dentro de suas atribuições, é de sua competência: </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I - garantir o cumprimento da legislação e da política de investimentos;</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II - avaliar a conveniência e adequação dos investimentos;</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III - monitorar o grau de risco dos investimentos;</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IV - observar que a rentabilidade dos recursos esteja de acordo com o nível de risco assumido pela entidade;</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V - garantir a gestão ética e transparente dos recursos.</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lastRenderedPageBreak/>
        <w:t>Sua atuação será pautada na avaliação das alternativas de investimentos com base nas expectativas quanto ao comportamento das variáveis econômicas e ficará limitada às determinações desta Política.</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 xml:space="preserve">São avaliados pelos responsáveis pela gestão dos recursos do </w:t>
      </w:r>
      <w:r w:rsidR="002B719F" w:rsidRPr="002B719F">
        <w:rPr>
          <w:rFonts w:asciiTheme="majorHAnsi" w:hAnsiTheme="majorHAnsi"/>
          <w:bCs/>
          <w:color w:val="7F7F7F" w:themeColor="text1" w:themeTint="80"/>
          <w:sz w:val="20"/>
          <w:szCs w:val="20"/>
        </w:rPr>
        <w:t>INSTITUTO DE PREVIDÊNCIA DO SERVIDOR MUNICIPAL DE TAQUARITINGA</w:t>
      </w:r>
      <w:r w:rsidRPr="001A464C">
        <w:rPr>
          <w:rFonts w:asciiTheme="majorHAnsi" w:hAnsiTheme="majorHAnsi"/>
          <w:bCs/>
          <w:color w:val="7F7F7F" w:themeColor="text1" w:themeTint="80"/>
          <w:sz w:val="20"/>
          <w:szCs w:val="20"/>
        </w:rPr>
        <w:t>, relatórios de acompanhamento das aplicações e operações de aquisição e venda de títulos, valores mobiliários e demais ativos alocados nos diversos segmentos de aplicação. Esse relatório será elaborado trimestralmente e terá como objetivo documentar e acompanhar a aplicação de seus recursos.</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Os relatórios supracitados serão mantidos e colocados à disposição do Ministério da Previdência Social, Tribunal de Contas do Estado, Conselho Fiscal e de Administração e demais órgãos fiscalizadores.</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Caberá ao comitê de investimentos do RPPS acompanhar a Política de Investimentos e sua aderência legal analisando a efetiva aplicação dos seus dispositivos.</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As operações realizadas no mercado secundário (compra/venda de títulos públicos) deverão ser realizadas através de plataforma eletrônica autorizada, Sisbex da BM&amp;F e CetipNet da Cetip que já atendem aos pré-requisitos para oferecer as rodas de negociação nos moldes exigidos pelo Tesouro Nacional e pelo Banco Central. O RPPS deverá ainda, realizar o acompanhamento de preços e taxas praticados em tais operações e compará-los aos preços e taxas utilizados como referência de mercado (ANBIMA).</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Dentro da vigência do contrato que o RPPS mantém com a</w:t>
      </w:r>
      <w:r w:rsidR="00BB4F6B" w:rsidRPr="001A464C">
        <w:rPr>
          <w:rFonts w:asciiTheme="majorHAnsi" w:hAnsiTheme="majorHAnsi"/>
          <w:b/>
          <w:bCs/>
          <w:color w:val="FF0000"/>
          <w:sz w:val="20"/>
          <w:szCs w:val="20"/>
        </w:rPr>
        <w:t xml:space="preserve"> </w:t>
      </w:r>
      <w:r w:rsidR="00BB4F6B" w:rsidRPr="001A464C">
        <w:rPr>
          <w:rFonts w:asciiTheme="majorHAnsi" w:hAnsiTheme="majorHAnsi"/>
          <w:bCs/>
          <w:color w:val="7F7F7F" w:themeColor="text1" w:themeTint="80"/>
          <w:sz w:val="20"/>
          <w:szCs w:val="20"/>
        </w:rPr>
        <w:t>empresa de consultoria de investimentos</w:t>
      </w:r>
      <w:r w:rsidRPr="001A464C">
        <w:rPr>
          <w:rFonts w:asciiTheme="majorHAnsi" w:hAnsiTheme="majorHAnsi"/>
          <w:bCs/>
          <w:color w:val="7F7F7F" w:themeColor="text1" w:themeTint="80"/>
          <w:sz w:val="20"/>
          <w:szCs w:val="20"/>
        </w:rPr>
        <w:t>, está contemplada a consulta às oportunidades de investimentos a serem realizados no âmbito desta política de investimentos.</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 xml:space="preserve">É importante ressaltar que, seja qual for à alocação de ativos, o mercado poderá apresentar períodos adversos, que poderão afetar ao menos parte da carteira. Portanto, é imperativo observar um horizonte de tempo que possa ajustar essas flutuações e permitir a recuperação da ocorrência de ocasionais perdas. Desta forma, o RPPS deve manter-se fiel à política de investimentos definida originalmente a partir do seu perfil de risco. </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E, de forma organizada, remanejar a alocação inicial em momentos de alta (vendendo) ou baixa (comprando) com o objetivo de rebalancear sua carteira de investimentos. Três virtudes básicas de um bom investidor são fundamentais: disciplina, paciência e diversificação.</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As aplicações realizadas pelo RPPS passarão por um processo de análise, para o qual serão utilizadas algumas ferramentas disponíveis no mercado, como o histórico de cotas de fundos de investimentos, abertura de carteira de investimentos, informações de mercado on-line, pesquisa em sites institucionais e outras.</w:t>
      </w:r>
    </w:p>
    <w:p w:rsidR="00CB1E8E"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Além de estudar o regulamento e o prospecto dos fundos de investimentos, será fei</w:t>
      </w:r>
      <w:r w:rsidR="00BB4F6B" w:rsidRPr="001A464C">
        <w:rPr>
          <w:rFonts w:asciiTheme="majorHAnsi" w:hAnsiTheme="majorHAnsi"/>
          <w:bCs/>
          <w:color w:val="7F7F7F" w:themeColor="text1" w:themeTint="80"/>
          <w:sz w:val="20"/>
          <w:szCs w:val="20"/>
        </w:rPr>
        <w:t>ta uma análise do gestor/administrador</w:t>
      </w:r>
      <w:r w:rsidRPr="001A464C">
        <w:rPr>
          <w:rFonts w:asciiTheme="majorHAnsi" w:hAnsiTheme="majorHAnsi"/>
          <w:bCs/>
          <w:color w:val="7F7F7F" w:themeColor="text1" w:themeTint="80"/>
          <w:sz w:val="20"/>
          <w:szCs w:val="20"/>
        </w:rPr>
        <w:t xml:space="preserve"> e da taxa de administração cobrada, dentre outros critérios. Os investimentos serão constantemente avaliados através de acompanhamento de desempenho, da abertura da composição das carteiras e avaliações de ativos. </w:t>
      </w:r>
    </w:p>
    <w:p w:rsidR="00D372BA" w:rsidRPr="001A464C" w:rsidRDefault="00CB1E8E"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As avaliações são feitas para orientar as definições de estratégias e as tomadas de decisões, de forma a aperfeiçoar o retorno da carteira e minimizar riscos.</w:t>
      </w:r>
    </w:p>
    <w:p w:rsidR="00687BFD" w:rsidRPr="001A464C" w:rsidRDefault="00687BFD" w:rsidP="001A464C">
      <w:pPr>
        <w:spacing w:beforeLines="120" w:before="288" w:after="0" w:line="240" w:lineRule="auto"/>
        <w:jc w:val="both"/>
        <w:rPr>
          <w:rFonts w:asciiTheme="majorHAnsi" w:hAnsiTheme="majorHAnsi"/>
          <w:bCs/>
          <w:color w:val="7F7F7F" w:themeColor="text1" w:themeTint="80"/>
          <w:sz w:val="20"/>
          <w:szCs w:val="20"/>
        </w:rPr>
      </w:pPr>
    </w:p>
    <w:p w:rsidR="00F17701" w:rsidRPr="00C7281C" w:rsidRDefault="00D372BA" w:rsidP="001A464C">
      <w:pPr>
        <w:pStyle w:val="Ttulo1"/>
        <w:spacing w:beforeLines="120" w:before="288" w:line="240" w:lineRule="auto"/>
        <w:jc w:val="both"/>
        <w:rPr>
          <w:rFonts w:asciiTheme="majorHAnsi" w:hAnsiTheme="majorHAnsi"/>
          <w:bCs/>
          <w:color w:val="ED7D31"/>
          <w:sz w:val="20"/>
          <w:szCs w:val="20"/>
        </w:rPr>
      </w:pPr>
      <w:bookmarkStart w:id="46" w:name="_Toc467598734"/>
      <w:r w:rsidRPr="00C7281C">
        <w:rPr>
          <w:rFonts w:asciiTheme="majorHAnsi" w:hAnsiTheme="majorHAnsi"/>
          <w:color w:val="ED7D31"/>
          <w:sz w:val="20"/>
          <w:szCs w:val="20"/>
          <w:u w:val="none"/>
        </w:rPr>
        <w:lastRenderedPageBreak/>
        <w:t>11.</w:t>
      </w:r>
      <w:r w:rsidRPr="00C7281C">
        <w:rPr>
          <w:rFonts w:asciiTheme="majorHAnsi" w:hAnsiTheme="majorHAnsi"/>
          <w:color w:val="ED7D31"/>
          <w:sz w:val="20"/>
          <w:szCs w:val="20"/>
          <w:u w:val="none"/>
        </w:rPr>
        <w:tab/>
      </w:r>
      <w:r w:rsidR="00AA5D11" w:rsidRPr="00C7281C">
        <w:rPr>
          <w:rFonts w:asciiTheme="majorHAnsi" w:hAnsiTheme="majorHAnsi"/>
          <w:color w:val="ED7D31"/>
          <w:sz w:val="20"/>
          <w:szCs w:val="20"/>
        </w:rPr>
        <w:t>DISPOSIÇÕES GERAIS</w:t>
      </w:r>
      <w:bookmarkEnd w:id="46"/>
    </w:p>
    <w:p w:rsidR="00585565" w:rsidRPr="001A464C" w:rsidRDefault="00585565"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A presente Política de Investimentos poderá ser revista no curso de sua execução e monitorada no curto prazo, a contar da data de sua aprovação pelo órgão superior competente do RPPS, sendo que o prazo de validade</w:t>
      </w:r>
      <w:r w:rsidR="00BD4655" w:rsidRPr="001A464C">
        <w:rPr>
          <w:rFonts w:asciiTheme="majorHAnsi" w:hAnsiTheme="majorHAnsi"/>
          <w:bCs/>
          <w:color w:val="7F7F7F" w:themeColor="text1" w:themeTint="80"/>
          <w:sz w:val="20"/>
          <w:szCs w:val="20"/>
        </w:rPr>
        <w:t xml:space="preserve"> compreenderá o ano de 2017</w:t>
      </w:r>
      <w:r w:rsidRPr="001A464C">
        <w:rPr>
          <w:rFonts w:asciiTheme="majorHAnsi" w:hAnsiTheme="majorHAnsi"/>
          <w:bCs/>
          <w:color w:val="7F7F7F" w:themeColor="text1" w:themeTint="80"/>
          <w:sz w:val="20"/>
          <w:szCs w:val="20"/>
        </w:rPr>
        <w:t>.</w:t>
      </w:r>
    </w:p>
    <w:p w:rsidR="00585565" w:rsidRPr="001A464C" w:rsidRDefault="00585565"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Reuniões extraordinárias junto ao Conselho do RPPS serão realizadas sempre que houver necessidade de ajustes nesta política de investimentos perante o comportamento/conjuntura do mercado, quando se apresentar o interesse da preservação dos ativos financeiros e/ou com vistas à adequação à nova legislação.</w:t>
      </w:r>
    </w:p>
    <w:p w:rsidR="00585565" w:rsidRPr="001A464C" w:rsidRDefault="00585565"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 xml:space="preserve">Deverão estar certificados os responsáveis pelo acompanhamento e operacionalização dos investimentos do RPPS, através de exame de certificação organizado por entidade autônoma de reconhecida capacidade técnica e difusão no mercado brasileiro de capitais, cujo conteúdo abrangerá, no mínimo, o contido no anexo a Portaria MPAS nº 519, de 24 de agosto de 2011. </w:t>
      </w:r>
    </w:p>
    <w:p w:rsidR="00585565" w:rsidRPr="001A464C" w:rsidRDefault="00585565"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 xml:space="preserve">A comprovação da habilitação ocorrerá mediante o preenchimento dos campos específicos constantes do Demonstrativo da Política de Investimentos - DPIN e do Demonstrativo de Aplicações e Investimentos dos Recursos - DAIR. </w:t>
      </w:r>
    </w:p>
    <w:p w:rsidR="00585565" w:rsidRPr="001A464C" w:rsidRDefault="00585565"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As Instituições Financeiras que operem e que venham a operar com o RPPS poderão, a título institucional, oferecer apoio técnico através de cursos, seminários e workshops ministrados por profissionais de mercado e/ou funcionários das Instituições para capacitação de servidores e membros dos órgãos colegiados do RPPS; bem como, contraprestação de serviços e projetos de iniciativa do RPPS, sem que haja ônus ou compromisso vinculados aos produtos de investimentos.</w:t>
      </w:r>
    </w:p>
    <w:p w:rsidR="00585565" w:rsidRPr="001A464C" w:rsidRDefault="00585565"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Ressalvadas situações especiais a serem avaliadas pelo Comitê de Investimentos do RPPS (tais como fundos fechados, fundos abertos com prazos de captação limitados), os fundos elegíveis para alocação deverão apresentar série histórica de, no mínimo, 6 (seis) meses, contados da data de início de funcionamento do fundo.</w:t>
      </w:r>
    </w:p>
    <w:p w:rsidR="00585565" w:rsidRPr="001A464C" w:rsidRDefault="00585565"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 xml:space="preserve">Casos omissos nesta Política de Investimentos remetem-se à Resolução CMN n° 3.922/2010, e à Portaria </w:t>
      </w:r>
      <w:r w:rsidR="00BD4655" w:rsidRPr="001A464C">
        <w:rPr>
          <w:rFonts w:asciiTheme="majorHAnsi" w:hAnsiTheme="majorHAnsi"/>
          <w:bCs/>
          <w:color w:val="7F7F7F" w:themeColor="text1" w:themeTint="80"/>
          <w:sz w:val="20"/>
          <w:szCs w:val="20"/>
        </w:rPr>
        <w:t>MPS nº 519, de 24 de agosto de 2</w:t>
      </w:r>
      <w:r w:rsidRPr="001A464C">
        <w:rPr>
          <w:rFonts w:asciiTheme="majorHAnsi" w:hAnsiTheme="majorHAnsi"/>
          <w:bCs/>
          <w:color w:val="7F7F7F" w:themeColor="text1" w:themeTint="80"/>
          <w:sz w:val="20"/>
          <w:szCs w:val="20"/>
        </w:rPr>
        <w:t>011.</w:t>
      </w:r>
    </w:p>
    <w:p w:rsidR="00585565" w:rsidRPr="001A464C" w:rsidRDefault="00585565"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É parte integrante desta Política de Investimentos, cópia da Ata do órgão superior competente que aprova o presente instrumento, devidamente assinada por seus membros.</w:t>
      </w:r>
    </w:p>
    <w:p w:rsidR="00585565" w:rsidRPr="001A464C" w:rsidRDefault="00585565"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Observação: Conforme Portaria MPS nº 440, de 09 de outubro de 2013, este documento deverá ser assinado:</w:t>
      </w:r>
    </w:p>
    <w:p w:rsidR="00585565" w:rsidRPr="001A464C" w:rsidRDefault="00585565"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Pelo representante do ente federativo;</w:t>
      </w:r>
    </w:p>
    <w:p w:rsidR="00585565" w:rsidRPr="001A464C" w:rsidRDefault="00585565" w:rsidP="001A464C">
      <w:pPr>
        <w:spacing w:beforeLines="120" w:before="288" w:after="0" w:line="240" w:lineRule="auto"/>
        <w:jc w:val="both"/>
        <w:rPr>
          <w:rFonts w:asciiTheme="majorHAnsi" w:hAnsiTheme="majorHAnsi"/>
          <w:bCs/>
          <w:color w:val="7F7F7F" w:themeColor="text1" w:themeTint="80"/>
          <w:sz w:val="20"/>
          <w:szCs w:val="20"/>
        </w:rPr>
      </w:pPr>
      <w:r w:rsidRPr="001A464C">
        <w:rPr>
          <w:rFonts w:asciiTheme="majorHAnsi" w:hAnsiTheme="majorHAnsi"/>
          <w:bCs/>
          <w:color w:val="7F7F7F" w:themeColor="text1" w:themeTint="80"/>
          <w:sz w:val="20"/>
          <w:szCs w:val="20"/>
        </w:rPr>
        <w:t>Pelo representante da unidade gestora do RPPS;</w:t>
      </w:r>
    </w:p>
    <w:p w:rsidR="00687BFD" w:rsidRPr="001A464C" w:rsidRDefault="00585565" w:rsidP="001A464C">
      <w:pPr>
        <w:spacing w:beforeLines="120" w:before="288" w:after="0" w:line="240" w:lineRule="auto"/>
        <w:jc w:val="both"/>
        <w:rPr>
          <w:rFonts w:asciiTheme="majorHAnsi" w:hAnsiTheme="majorHAnsi"/>
          <w:sz w:val="20"/>
          <w:szCs w:val="20"/>
        </w:rPr>
      </w:pPr>
      <w:r w:rsidRPr="001A464C">
        <w:rPr>
          <w:rFonts w:asciiTheme="majorHAnsi" w:hAnsiTheme="majorHAnsi"/>
          <w:bCs/>
          <w:color w:val="7F7F7F" w:themeColor="text1" w:themeTint="80"/>
          <w:sz w:val="20"/>
          <w:szCs w:val="20"/>
        </w:rPr>
        <w:t>Pelos responsáveis pela elaboração, aprovação e execução desta Política de Investimentos.</w:t>
      </w:r>
      <w:r w:rsidR="00687BFD" w:rsidRPr="001A464C">
        <w:rPr>
          <w:rFonts w:asciiTheme="majorHAnsi" w:hAnsiTheme="majorHAnsi"/>
          <w:sz w:val="20"/>
          <w:szCs w:val="20"/>
        </w:rPr>
        <w:br w:type="page"/>
      </w:r>
    </w:p>
    <w:p w:rsidR="00F17701" w:rsidRPr="00C7281C" w:rsidRDefault="000F5173" w:rsidP="00310039">
      <w:pPr>
        <w:pStyle w:val="Ttulo1"/>
        <w:spacing w:beforeLines="120" w:before="288" w:line="240" w:lineRule="auto"/>
        <w:jc w:val="center"/>
        <w:rPr>
          <w:rFonts w:asciiTheme="majorHAnsi" w:hAnsiTheme="majorHAnsi"/>
          <w:color w:val="ED7D31"/>
          <w:sz w:val="20"/>
          <w:szCs w:val="20"/>
        </w:rPr>
      </w:pPr>
      <w:bookmarkStart w:id="47" w:name="_Toc467598735"/>
      <w:r w:rsidRPr="00C7281C">
        <w:rPr>
          <w:rFonts w:asciiTheme="majorHAnsi" w:hAnsiTheme="majorHAnsi"/>
          <w:color w:val="ED7D31"/>
          <w:sz w:val="20"/>
          <w:szCs w:val="20"/>
        </w:rPr>
        <w:lastRenderedPageBreak/>
        <w:t>DISCLAIMER</w:t>
      </w:r>
      <w:bookmarkEnd w:id="47"/>
    </w:p>
    <w:p w:rsidR="002A5EF9" w:rsidRPr="002A5EF9" w:rsidRDefault="002A5EF9" w:rsidP="008A61E9">
      <w:pPr>
        <w:spacing w:after="0"/>
      </w:pPr>
    </w:p>
    <w:p w:rsidR="00E97A92" w:rsidRPr="00DA46DB" w:rsidRDefault="00E97A92" w:rsidP="008A61E9">
      <w:pPr>
        <w:spacing w:beforeLines="120" w:before="288" w:after="0" w:line="240" w:lineRule="auto"/>
        <w:jc w:val="both"/>
        <w:rPr>
          <w:rFonts w:asciiTheme="majorHAnsi" w:hAnsiTheme="majorHAnsi"/>
          <w:bCs/>
          <w:i/>
          <w:color w:val="7F7F7F" w:themeColor="text1" w:themeTint="80"/>
          <w:sz w:val="14"/>
          <w:szCs w:val="20"/>
        </w:rPr>
      </w:pPr>
      <w:r w:rsidRPr="00DA46DB">
        <w:rPr>
          <w:rFonts w:asciiTheme="majorHAnsi" w:hAnsiTheme="majorHAnsi"/>
          <w:bCs/>
          <w:i/>
          <w:color w:val="7F7F7F" w:themeColor="text1" w:themeTint="80"/>
          <w:sz w:val="14"/>
          <w:szCs w:val="20"/>
        </w:rPr>
        <w:t>Este Relatório e/ou Parecer foi preparado para uso exclusivo do destinatário, não podendo ser reproduzido ou distribuído por este a qualquer pessoa sem expressa autorização da Empresa. As informações aqui contidas são somente com o objetivo de prover informações e não representa, em nenhuma hipótese, uma oferta de compra e venda ou solicitação de compra e venda de qualquer valor mobiliário ou instrumento financeiro. Esta é apenas uma OPINIÃO que reflete o momento da análise e são consubstanciadas em informações coletadas que julgamos confiáveis.</w:t>
      </w:r>
    </w:p>
    <w:p w:rsidR="00E97A92" w:rsidRPr="00DA46DB" w:rsidRDefault="00E97A92" w:rsidP="008A61E9">
      <w:pPr>
        <w:spacing w:beforeLines="120" w:before="288" w:after="0" w:line="240" w:lineRule="auto"/>
        <w:jc w:val="both"/>
        <w:rPr>
          <w:rFonts w:asciiTheme="majorHAnsi" w:hAnsiTheme="majorHAnsi"/>
          <w:bCs/>
          <w:i/>
          <w:color w:val="7F7F7F" w:themeColor="text1" w:themeTint="80"/>
          <w:sz w:val="14"/>
          <w:szCs w:val="20"/>
        </w:rPr>
      </w:pPr>
      <w:r w:rsidRPr="00DA46DB">
        <w:rPr>
          <w:rFonts w:asciiTheme="majorHAnsi" w:hAnsiTheme="majorHAnsi"/>
          <w:bCs/>
          <w:i/>
          <w:color w:val="7F7F7F" w:themeColor="text1" w:themeTint="80"/>
          <w:sz w:val="14"/>
          <w:szCs w:val="20"/>
        </w:rPr>
        <w:t>Não nos responsabilizamos pela utilização destas informações em suas tomadas de decisão e consequentes perdas e ganhos. As informações aqui contidas não representam garantia de exatidão das informações prestadas ou julgamento sobre a qualidade das mesmas, e não devem ser consideradas como tais. As opiniões contidas neste Relatório e/ou Parecer são baseadas em julgamentos e estimativas, estando, portanto, sujeitas a mudanças.</w:t>
      </w:r>
    </w:p>
    <w:p w:rsidR="00E97A92" w:rsidRPr="00DA46DB" w:rsidRDefault="00E97A92" w:rsidP="008A61E9">
      <w:pPr>
        <w:spacing w:beforeLines="120" w:before="288" w:after="0" w:line="240" w:lineRule="auto"/>
        <w:jc w:val="both"/>
        <w:rPr>
          <w:rFonts w:asciiTheme="majorHAnsi" w:hAnsiTheme="majorHAnsi"/>
          <w:bCs/>
          <w:i/>
          <w:color w:val="7F7F7F" w:themeColor="text1" w:themeTint="80"/>
          <w:sz w:val="14"/>
          <w:szCs w:val="20"/>
        </w:rPr>
      </w:pPr>
      <w:r w:rsidRPr="00DA46DB">
        <w:rPr>
          <w:rFonts w:asciiTheme="majorHAnsi" w:hAnsiTheme="majorHAnsi"/>
          <w:bCs/>
          <w:i/>
          <w:color w:val="7F7F7F" w:themeColor="text1" w:themeTint="80"/>
          <w:sz w:val="14"/>
          <w:szCs w:val="20"/>
        </w:rPr>
        <w:t>As informações deste Relatório procuram estar em consonância com o regulamento dos produtos mencionados, mas não substituem seus materiais regulatórios, como regulamentos e prospectos de distribuição. É recomendada a leitura cuidadosa tanto do prospecto quanto do regulamento, com especial atenção para as cláusulas relativas ao objetivo e à política de investimento dos produtos de investimento, bem como às disposições do prospecto e do regulamento que tratam dos fatoras de risco a que o fundo está exposto. Todas as informações sobre os produtos aqui mencionados, bem como o regulamento e o prospecto, podem ser obtidas com o responsável pela distribuição.</w:t>
      </w:r>
    </w:p>
    <w:p w:rsidR="00E97A92" w:rsidRPr="00DA46DB" w:rsidRDefault="00E97A92" w:rsidP="008A61E9">
      <w:pPr>
        <w:spacing w:beforeLines="120" w:before="288" w:after="0" w:line="240" w:lineRule="auto"/>
        <w:jc w:val="both"/>
        <w:rPr>
          <w:rFonts w:asciiTheme="majorHAnsi" w:hAnsiTheme="majorHAnsi"/>
          <w:bCs/>
          <w:i/>
          <w:color w:val="7F7F7F" w:themeColor="text1" w:themeTint="80"/>
          <w:sz w:val="14"/>
          <w:szCs w:val="20"/>
        </w:rPr>
      </w:pPr>
      <w:r w:rsidRPr="00DA46DB">
        <w:rPr>
          <w:rFonts w:asciiTheme="majorHAnsi" w:hAnsiTheme="majorHAnsi"/>
          <w:bCs/>
          <w:i/>
          <w:color w:val="7F7F7F" w:themeColor="text1" w:themeTint="80"/>
          <w:sz w:val="14"/>
          <w:szCs w:val="20"/>
        </w:rPr>
        <w:t>A rentabilidade obtida no passado não representa garantia de rentabilidade futura e os produtos estruturados possuem, além da volatilidade, riscos associados à sua carteira de crédito e estruturação.</w:t>
      </w:r>
    </w:p>
    <w:p w:rsidR="00B5070A" w:rsidRPr="00DA46DB" w:rsidRDefault="00E97A92" w:rsidP="008A61E9">
      <w:pPr>
        <w:spacing w:beforeLines="120" w:before="288" w:after="0" w:line="240" w:lineRule="auto"/>
        <w:jc w:val="both"/>
        <w:rPr>
          <w:rFonts w:asciiTheme="majorHAnsi" w:hAnsiTheme="majorHAnsi"/>
          <w:bCs/>
          <w:color w:val="7F7F7F" w:themeColor="text1" w:themeTint="80"/>
          <w:sz w:val="14"/>
          <w:szCs w:val="20"/>
        </w:rPr>
      </w:pPr>
      <w:r w:rsidRPr="00DA46DB">
        <w:rPr>
          <w:rFonts w:asciiTheme="majorHAnsi" w:hAnsiTheme="majorHAnsi"/>
          <w:bCs/>
          <w:i/>
          <w:color w:val="7F7F7F" w:themeColor="text1" w:themeTint="80"/>
          <w:sz w:val="14"/>
          <w:szCs w:val="20"/>
        </w:rPr>
        <w:t>Os RPPS devem estar adequados à Portaria nº 519, de 24 de Agosto de 2011 e suas alterações conforme Portarias nº 170, de 25 de Abril de 2012; nº 440, de 09 de Outubro de 2013 e nº 300 de 03 de Julho de 2015, além da Resolução CMN nº 3.922 de 25 de Novembro de 2010 e sua alteração conforme Resolução CMN nº 4.392 de 19 de Dezembro de 2014, que dispõem sobre as aplicações dos recursos financeiros dos Regimes Próprios de Previdência Social, instituídos pela União, Estados, Distrito Federal e Municípios e dá outras providências.</w:t>
      </w:r>
    </w:p>
    <w:p w:rsidR="00F17701" w:rsidRPr="001A464C" w:rsidRDefault="00F17701" w:rsidP="001A464C">
      <w:pPr>
        <w:spacing w:beforeLines="120" w:before="288" w:after="0" w:line="240" w:lineRule="auto"/>
        <w:jc w:val="both"/>
        <w:rPr>
          <w:rFonts w:asciiTheme="majorHAnsi" w:hAnsiTheme="majorHAnsi"/>
          <w:sz w:val="20"/>
          <w:szCs w:val="20"/>
        </w:rPr>
      </w:pPr>
    </w:p>
    <w:sectPr w:rsidR="00F17701" w:rsidRPr="001A464C" w:rsidSect="00E97A92">
      <w:headerReference w:type="default" r:id="rId13"/>
      <w:footerReference w:type="default" r:id="rId14"/>
      <w:pgSz w:w="11906" w:h="16838"/>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C60" w:rsidRDefault="00545C60" w:rsidP="00D87426">
      <w:pPr>
        <w:spacing w:after="0" w:line="240" w:lineRule="auto"/>
      </w:pPr>
      <w:r>
        <w:separator/>
      </w:r>
    </w:p>
  </w:endnote>
  <w:endnote w:type="continuationSeparator" w:id="0">
    <w:p w:rsidR="00545C60" w:rsidRDefault="00545C60" w:rsidP="00D8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6DB" w:rsidRDefault="00DA46DB">
    <w:pPr>
      <w:pStyle w:val="Rodap"/>
      <w:jc w:val="right"/>
    </w:pPr>
    <w:r>
      <w:t xml:space="preserve">p. </w:t>
    </w:r>
    <w:sdt>
      <w:sdtPr>
        <w:id w:val="1079252813"/>
        <w:docPartObj>
          <w:docPartGallery w:val="Page Numbers (Bottom of Page)"/>
          <w:docPartUnique/>
        </w:docPartObj>
      </w:sdtPr>
      <w:sdtEndPr/>
      <w:sdtContent>
        <w:r>
          <w:fldChar w:fldCharType="begin"/>
        </w:r>
        <w:r>
          <w:instrText>PAGE   \* MERGEFORMAT</w:instrText>
        </w:r>
        <w:r>
          <w:fldChar w:fldCharType="separate"/>
        </w:r>
        <w:r w:rsidR="009221FB">
          <w:rPr>
            <w:noProof/>
          </w:rPr>
          <w:t>1</w:t>
        </w:r>
        <w:r>
          <w:fldChar w:fldCharType="end"/>
        </w:r>
      </w:sdtContent>
    </w:sdt>
  </w:p>
  <w:p w:rsidR="00DA46DB" w:rsidRDefault="00DA46D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C60" w:rsidRDefault="00545C60" w:rsidP="00D87426">
      <w:pPr>
        <w:spacing w:after="0" w:line="240" w:lineRule="auto"/>
      </w:pPr>
      <w:r>
        <w:separator/>
      </w:r>
    </w:p>
  </w:footnote>
  <w:footnote w:type="continuationSeparator" w:id="0">
    <w:p w:rsidR="00545C60" w:rsidRDefault="00545C60" w:rsidP="00D87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6DB" w:rsidRDefault="00C7281C">
    <w:pPr>
      <w:pStyle w:val="Cabealho"/>
    </w:pPr>
    <w:r w:rsidRPr="00D87426">
      <w:rPr>
        <w:noProof/>
        <w:lang w:eastAsia="pt-BR"/>
      </w:rPr>
      <mc:AlternateContent>
        <mc:Choice Requires="wps">
          <w:drawing>
            <wp:anchor distT="0" distB="0" distL="114300" distR="114300" simplePos="0" relativeHeight="251634688" behindDoc="0" locked="0" layoutInCell="1" allowOverlap="1" wp14:anchorId="5247655E" wp14:editId="18089AFF">
              <wp:simplePos x="0" y="0"/>
              <wp:positionH relativeFrom="column">
                <wp:posOffset>-1086958</wp:posOffset>
              </wp:positionH>
              <wp:positionV relativeFrom="paragraph">
                <wp:posOffset>956139</wp:posOffset>
              </wp:positionV>
              <wp:extent cx="7554178" cy="280035"/>
              <wp:effectExtent l="0" t="0" r="0" b="5715"/>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4178" cy="280035"/>
                      </a:xfrm>
                      <a:prstGeom prst="rect">
                        <a:avLst/>
                      </a:prstGeom>
                      <a:noFill/>
                      <a:ln w="9525">
                        <a:noFill/>
                        <a:miter lim="800000"/>
                        <a:headEnd/>
                        <a:tailEnd/>
                      </a:ln>
                    </wps:spPr>
                    <wps:txbx>
                      <w:txbxContent>
                        <w:p w:rsidR="00DA46DB" w:rsidRPr="00C7281C" w:rsidRDefault="00DA46DB" w:rsidP="00C7281C">
                          <w:pPr>
                            <w:jc w:val="right"/>
                            <w:rPr>
                              <w:rFonts w:ascii="Calibri" w:hAnsi="Calibri"/>
                              <w:color w:val="ED7D31" w:themeColor="accent2"/>
                              <w:szCs w:val="28"/>
                            </w:rPr>
                          </w:pPr>
                          <w:r w:rsidRPr="00C7281C">
                            <w:rPr>
                              <w:rFonts w:ascii="Calibri" w:hAnsi="Calibri"/>
                              <w:color w:val="ED7D31"/>
                              <w:szCs w:val="28"/>
                            </w:rPr>
                            <w:t>POLÍTICA DE INVESTIMENTOS</w:t>
                          </w:r>
                          <w:r w:rsidRPr="00C7281C">
                            <w:rPr>
                              <w:rFonts w:ascii="Calibri" w:hAnsi="Calibri"/>
                              <w:color w:val="ED7D31" w:themeColor="accent2"/>
                              <w:szCs w:val="28"/>
                            </w:rPr>
                            <w:t xml:space="preserve"> 2017</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5="http://schemas.microsoft.com/office/word/2012/wordml">
          <w:pict>
            <v:shapetype w14:anchorId="5247655E" id="_x0000_t202" coordsize="21600,21600" o:spt="202" path="m,l,21600r21600,l21600,xe">
              <v:stroke joinstyle="miter"/>
              <v:path gradientshapeok="t" o:connecttype="rect"/>
            </v:shapetype>
            <v:shape id="Caixa de Texto 2" o:spid="_x0000_s1026" type="#_x0000_t202" style="position:absolute;margin-left:-85.6pt;margin-top:75.3pt;width:594.8pt;height:22.05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" filled="f" stroked="f">
              <v:textbox>
                <w:txbxContent>
                  <w:p w:rsidR="00DA46DB" w:rsidRPr="00C7281C" w:rsidRDefault="00DA46DB" w:rsidP="00C7281C">
                    <w:pPr>
                      <w:jc w:val="right"/>
                      <w:rPr>
                        <w:rFonts w:ascii="Calibri" w:hAnsi="Calibri"/>
                        <w:color w:val="ED7D31" w:themeColor="accent2"/>
                        <w:szCs w:val="28"/>
                      </w:rPr>
                    </w:pPr>
                    <w:r w:rsidRPr="00C7281C">
                      <w:rPr>
                        <w:rFonts w:ascii="Calibri" w:hAnsi="Calibri"/>
                        <w:color w:val="ED7D31"/>
                        <w:szCs w:val="28"/>
                      </w:rPr>
                      <w:t>POLÍTICA DE INVESTIMENTOS</w:t>
                    </w:r>
                    <w:r w:rsidRPr="00C7281C">
                      <w:rPr>
                        <w:rFonts w:ascii="Calibri" w:hAnsi="Calibri"/>
                        <w:color w:val="ED7D31" w:themeColor="accent2"/>
                        <w:szCs w:val="28"/>
                      </w:rPr>
                      <w:t xml:space="preserve"> 2017</w:t>
                    </w:r>
                  </w:p>
                </w:txbxContent>
              </v:textbox>
            </v:shape>
          </w:pict>
        </mc:Fallback>
      </mc:AlternateContent>
    </w:r>
    <w:r w:rsidRPr="00C7281C">
      <w:rPr>
        <w:noProof/>
        <w:lang w:eastAsia="pt-BR"/>
      </w:rPr>
      <mc:AlternateContent>
        <mc:Choice Requires="wps">
          <w:drawing>
            <wp:anchor distT="0" distB="0" distL="114300" distR="114300" simplePos="0" relativeHeight="251678720" behindDoc="0" locked="0" layoutInCell="1" allowOverlap="1" wp14:anchorId="379B1ECD" wp14:editId="54F97863">
              <wp:simplePos x="0" y="0"/>
              <wp:positionH relativeFrom="column">
                <wp:posOffset>-1084580</wp:posOffset>
              </wp:positionH>
              <wp:positionV relativeFrom="paragraph">
                <wp:posOffset>-452120</wp:posOffset>
              </wp:positionV>
              <wp:extent cx="7553325" cy="1352550"/>
              <wp:effectExtent l="57150" t="19050" r="66675" b="95250"/>
              <wp:wrapNone/>
              <wp:docPr id="246" name="Retângulo 11"/>
              <wp:cNvGraphicFramePr/>
              <a:graphic xmlns:a="http://schemas.openxmlformats.org/drawingml/2006/main">
                <a:graphicData uri="http://schemas.microsoft.com/office/word/2010/wordprocessingShape">
                  <wps:wsp>
                    <wps:cNvSpPr/>
                    <wps:spPr>
                      <a:xfrm>
                        <a:off x="0" y="0"/>
                        <a:ext cx="7553325" cy="1352550"/>
                      </a:xfrm>
                      <a:prstGeom prst="rect">
                        <a:avLst/>
                      </a:prstGeom>
                      <a:solidFill>
                        <a:schemeClr val="bg1"/>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A0168B" id="Retângulo 11" o:spid="_x0000_s1026" style="position:absolute;margin-left:-85.4pt;margin-top:-35.6pt;width:594.75pt;height:1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" fillcolor="white [3212]" stroked="f" strokeweight="1pt">
              <v:shadow on="t" color="black" opacity="26214f" origin=",-.5" offset="0,3pt"/>
            </v:rect>
          </w:pict>
        </mc:Fallback>
      </mc:AlternateContent>
    </w:r>
    <w:r w:rsidRPr="00C7281C">
      <w:rPr>
        <w:noProof/>
        <w:lang w:eastAsia="pt-BR"/>
      </w:rPr>
      <w:drawing>
        <wp:anchor distT="0" distB="0" distL="114300" distR="114300" simplePos="0" relativeHeight="251722752" behindDoc="0" locked="0" layoutInCell="1" allowOverlap="1" wp14:anchorId="018C469C" wp14:editId="7D7D7D93">
          <wp:simplePos x="0" y="0"/>
          <wp:positionH relativeFrom="column">
            <wp:posOffset>-881163</wp:posOffset>
          </wp:positionH>
          <wp:positionV relativeFrom="paragraph">
            <wp:posOffset>-102832</wp:posOffset>
          </wp:positionV>
          <wp:extent cx="1570008" cy="533400"/>
          <wp:effectExtent l="0" t="0" r="0" b="0"/>
          <wp:wrapNone/>
          <wp:docPr id="9"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2" descr="D:\PAR E PLENA\PLENA\Logo Plena.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0008"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4E6"/>
    <w:multiLevelType w:val="hybridMultilevel"/>
    <w:tmpl w:val="3A08CB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031D12"/>
    <w:multiLevelType w:val="hybridMultilevel"/>
    <w:tmpl w:val="02386C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BB6D37"/>
    <w:multiLevelType w:val="multilevel"/>
    <w:tmpl w:val="C19AE490"/>
    <w:lvl w:ilvl="0">
      <w:start w:val="1"/>
      <w:numFmt w:val="decimal"/>
      <w:lvlText w:val="%1."/>
      <w:lvlJc w:val="left"/>
      <w:pPr>
        <w:ind w:left="720" w:hanging="360"/>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DCF6C13"/>
    <w:multiLevelType w:val="hybridMultilevel"/>
    <w:tmpl w:val="D6982488"/>
    <w:lvl w:ilvl="0" w:tplc="D5C20464">
      <w:start w:val="1"/>
      <w:numFmt w:val="bullet"/>
      <w:lvlText w:val="•"/>
      <w:lvlJc w:val="left"/>
      <w:pPr>
        <w:tabs>
          <w:tab w:val="num" w:pos="720"/>
        </w:tabs>
        <w:ind w:left="720" w:hanging="360"/>
      </w:pPr>
      <w:rPr>
        <w:rFonts w:ascii="Arial" w:hAnsi="Arial" w:hint="default"/>
      </w:rPr>
    </w:lvl>
    <w:lvl w:ilvl="1" w:tplc="C422FD3E" w:tentative="1">
      <w:start w:val="1"/>
      <w:numFmt w:val="bullet"/>
      <w:lvlText w:val="•"/>
      <w:lvlJc w:val="left"/>
      <w:pPr>
        <w:tabs>
          <w:tab w:val="num" w:pos="1440"/>
        </w:tabs>
        <w:ind w:left="1440" w:hanging="360"/>
      </w:pPr>
      <w:rPr>
        <w:rFonts w:ascii="Arial" w:hAnsi="Arial" w:hint="default"/>
      </w:rPr>
    </w:lvl>
    <w:lvl w:ilvl="2" w:tplc="BF4437B8" w:tentative="1">
      <w:start w:val="1"/>
      <w:numFmt w:val="bullet"/>
      <w:lvlText w:val="•"/>
      <w:lvlJc w:val="left"/>
      <w:pPr>
        <w:tabs>
          <w:tab w:val="num" w:pos="2160"/>
        </w:tabs>
        <w:ind w:left="2160" w:hanging="360"/>
      </w:pPr>
      <w:rPr>
        <w:rFonts w:ascii="Arial" w:hAnsi="Arial" w:hint="default"/>
      </w:rPr>
    </w:lvl>
    <w:lvl w:ilvl="3" w:tplc="F6280244" w:tentative="1">
      <w:start w:val="1"/>
      <w:numFmt w:val="bullet"/>
      <w:lvlText w:val="•"/>
      <w:lvlJc w:val="left"/>
      <w:pPr>
        <w:tabs>
          <w:tab w:val="num" w:pos="2880"/>
        </w:tabs>
        <w:ind w:left="2880" w:hanging="360"/>
      </w:pPr>
      <w:rPr>
        <w:rFonts w:ascii="Arial" w:hAnsi="Arial" w:hint="default"/>
      </w:rPr>
    </w:lvl>
    <w:lvl w:ilvl="4" w:tplc="5AB2F98A" w:tentative="1">
      <w:start w:val="1"/>
      <w:numFmt w:val="bullet"/>
      <w:lvlText w:val="•"/>
      <w:lvlJc w:val="left"/>
      <w:pPr>
        <w:tabs>
          <w:tab w:val="num" w:pos="3600"/>
        </w:tabs>
        <w:ind w:left="3600" w:hanging="360"/>
      </w:pPr>
      <w:rPr>
        <w:rFonts w:ascii="Arial" w:hAnsi="Arial" w:hint="default"/>
      </w:rPr>
    </w:lvl>
    <w:lvl w:ilvl="5" w:tplc="F06623A8" w:tentative="1">
      <w:start w:val="1"/>
      <w:numFmt w:val="bullet"/>
      <w:lvlText w:val="•"/>
      <w:lvlJc w:val="left"/>
      <w:pPr>
        <w:tabs>
          <w:tab w:val="num" w:pos="4320"/>
        </w:tabs>
        <w:ind w:left="4320" w:hanging="360"/>
      </w:pPr>
      <w:rPr>
        <w:rFonts w:ascii="Arial" w:hAnsi="Arial" w:hint="default"/>
      </w:rPr>
    </w:lvl>
    <w:lvl w:ilvl="6" w:tplc="6882B74C" w:tentative="1">
      <w:start w:val="1"/>
      <w:numFmt w:val="bullet"/>
      <w:lvlText w:val="•"/>
      <w:lvlJc w:val="left"/>
      <w:pPr>
        <w:tabs>
          <w:tab w:val="num" w:pos="5040"/>
        </w:tabs>
        <w:ind w:left="5040" w:hanging="360"/>
      </w:pPr>
      <w:rPr>
        <w:rFonts w:ascii="Arial" w:hAnsi="Arial" w:hint="default"/>
      </w:rPr>
    </w:lvl>
    <w:lvl w:ilvl="7" w:tplc="8A5EE106" w:tentative="1">
      <w:start w:val="1"/>
      <w:numFmt w:val="bullet"/>
      <w:lvlText w:val="•"/>
      <w:lvlJc w:val="left"/>
      <w:pPr>
        <w:tabs>
          <w:tab w:val="num" w:pos="5760"/>
        </w:tabs>
        <w:ind w:left="5760" w:hanging="360"/>
      </w:pPr>
      <w:rPr>
        <w:rFonts w:ascii="Arial" w:hAnsi="Arial" w:hint="default"/>
      </w:rPr>
    </w:lvl>
    <w:lvl w:ilvl="8" w:tplc="62B65384" w:tentative="1">
      <w:start w:val="1"/>
      <w:numFmt w:val="bullet"/>
      <w:lvlText w:val="•"/>
      <w:lvlJc w:val="left"/>
      <w:pPr>
        <w:tabs>
          <w:tab w:val="num" w:pos="6480"/>
        </w:tabs>
        <w:ind w:left="6480" w:hanging="360"/>
      </w:pPr>
      <w:rPr>
        <w:rFonts w:ascii="Arial" w:hAnsi="Arial" w:hint="default"/>
      </w:rPr>
    </w:lvl>
  </w:abstractNum>
  <w:abstractNum w:abstractNumId="4">
    <w:nsid w:val="12A62414"/>
    <w:multiLevelType w:val="hybridMultilevel"/>
    <w:tmpl w:val="88361032"/>
    <w:lvl w:ilvl="0" w:tplc="8BFCC08E">
      <w:start w:val="1"/>
      <w:numFmt w:val="bullet"/>
      <w:lvlText w:val="•"/>
      <w:lvlJc w:val="left"/>
      <w:pPr>
        <w:tabs>
          <w:tab w:val="num" w:pos="360"/>
        </w:tabs>
        <w:ind w:left="360" w:hanging="360"/>
      </w:pPr>
      <w:rPr>
        <w:rFonts w:ascii="Arial" w:hAnsi="Arial" w:hint="default"/>
      </w:rPr>
    </w:lvl>
    <w:lvl w:ilvl="1" w:tplc="B76C1EBE">
      <w:start w:val="36"/>
      <w:numFmt w:val="bullet"/>
      <w:lvlText w:val=""/>
      <w:lvlJc w:val="left"/>
      <w:pPr>
        <w:tabs>
          <w:tab w:val="num" w:pos="1080"/>
        </w:tabs>
        <w:ind w:left="1080" w:hanging="360"/>
      </w:pPr>
      <w:rPr>
        <w:rFonts w:ascii="Wingdings" w:hAnsi="Wingdings" w:hint="default"/>
      </w:rPr>
    </w:lvl>
    <w:lvl w:ilvl="2" w:tplc="B1E2D19C" w:tentative="1">
      <w:start w:val="1"/>
      <w:numFmt w:val="bullet"/>
      <w:lvlText w:val="•"/>
      <w:lvlJc w:val="left"/>
      <w:pPr>
        <w:tabs>
          <w:tab w:val="num" w:pos="1800"/>
        </w:tabs>
        <w:ind w:left="1800" w:hanging="360"/>
      </w:pPr>
      <w:rPr>
        <w:rFonts w:ascii="Arial" w:hAnsi="Arial" w:hint="default"/>
      </w:rPr>
    </w:lvl>
    <w:lvl w:ilvl="3" w:tplc="D5E2F366" w:tentative="1">
      <w:start w:val="1"/>
      <w:numFmt w:val="bullet"/>
      <w:lvlText w:val="•"/>
      <w:lvlJc w:val="left"/>
      <w:pPr>
        <w:tabs>
          <w:tab w:val="num" w:pos="2520"/>
        </w:tabs>
        <w:ind w:left="2520" w:hanging="360"/>
      </w:pPr>
      <w:rPr>
        <w:rFonts w:ascii="Arial" w:hAnsi="Arial" w:hint="default"/>
      </w:rPr>
    </w:lvl>
    <w:lvl w:ilvl="4" w:tplc="47AAC38A" w:tentative="1">
      <w:start w:val="1"/>
      <w:numFmt w:val="bullet"/>
      <w:lvlText w:val="•"/>
      <w:lvlJc w:val="left"/>
      <w:pPr>
        <w:tabs>
          <w:tab w:val="num" w:pos="3240"/>
        </w:tabs>
        <w:ind w:left="3240" w:hanging="360"/>
      </w:pPr>
      <w:rPr>
        <w:rFonts w:ascii="Arial" w:hAnsi="Arial" w:hint="default"/>
      </w:rPr>
    </w:lvl>
    <w:lvl w:ilvl="5" w:tplc="0092336C" w:tentative="1">
      <w:start w:val="1"/>
      <w:numFmt w:val="bullet"/>
      <w:lvlText w:val="•"/>
      <w:lvlJc w:val="left"/>
      <w:pPr>
        <w:tabs>
          <w:tab w:val="num" w:pos="3960"/>
        </w:tabs>
        <w:ind w:left="3960" w:hanging="360"/>
      </w:pPr>
      <w:rPr>
        <w:rFonts w:ascii="Arial" w:hAnsi="Arial" w:hint="default"/>
      </w:rPr>
    </w:lvl>
    <w:lvl w:ilvl="6" w:tplc="1DAEF0FA" w:tentative="1">
      <w:start w:val="1"/>
      <w:numFmt w:val="bullet"/>
      <w:lvlText w:val="•"/>
      <w:lvlJc w:val="left"/>
      <w:pPr>
        <w:tabs>
          <w:tab w:val="num" w:pos="4680"/>
        </w:tabs>
        <w:ind w:left="4680" w:hanging="360"/>
      </w:pPr>
      <w:rPr>
        <w:rFonts w:ascii="Arial" w:hAnsi="Arial" w:hint="default"/>
      </w:rPr>
    </w:lvl>
    <w:lvl w:ilvl="7" w:tplc="3A5678E8" w:tentative="1">
      <w:start w:val="1"/>
      <w:numFmt w:val="bullet"/>
      <w:lvlText w:val="•"/>
      <w:lvlJc w:val="left"/>
      <w:pPr>
        <w:tabs>
          <w:tab w:val="num" w:pos="5400"/>
        </w:tabs>
        <w:ind w:left="5400" w:hanging="360"/>
      </w:pPr>
      <w:rPr>
        <w:rFonts w:ascii="Arial" w:hAnsi="Arial" w:hint="default"/>
      </w:rPr>
    </w:lvl>
    <w:lvl w:ilvl="8" w:tplc="C608CB92" w:tentative="1">
      <w:start w:val="1"/>
      <w:numFmt w:val="bullet"/>
      <w:lvlText w:val="•"/>
      <w:lvlJc w:val="left"/>
      <w:pPr>
        <w:tabs>
          <w:tab w:val="num" w:pos="6120"/>
        </w:tabs>
        <w:ind w:left="6120" w:hanging="360"/>
      </w:pPr>
      <w:rPr>
        <w:rFonts w:ascii="Arial" w:hAnsi="Arial" w:hint="default"/>
      </w:rPr>
    </w:lvl>
  </w:abstractNum>
  <w:abstractNum w:abstractNumId="5">
    <w:nsid w:val="307D5DCE"/>
    <w:multiLevelType w:val="hybridMultilevel"/>
    <w:tmpl w:val="BE9A8F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B172B54"/>
    <w:multiLevelType w:val="hybridMultilevel"/>
    <w:tmpl w:val="DA489F4E"/>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44DC79C9"/>
    <w:multiLevelType w:val="hybridMultilevel"/>
    <w:tmpl w:val="C212D5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BFA77FE"/>
    <w:multiLevelType w:val="hybridMultilevel"/>
    <w:tmpl w:val="4F48D63E"/>
    <w:lvl w:ilvl="0" w:tplc="9B5456B8">
      <w:start w:val="1"/>
      <w:numFmt w:val="bullet"/>
      <w:lvlText w:val="•"/>
      <w:lvlJc w:val="left"/>
      <w:pPr>
        <w:tabs>
          <w:tab w:val="num" w:pos="720"/>
        </w:tabs>
        <w:ind w:left="720" w:hanging="360"/>
      </w:pPr>
      <w:rPr>
        <w:rFonts w:ascii="Arial" w:hAnsi="Arial" w:hint="default"/>
      </w:rPr>
    </w:lvl>
    <w:lvl w:ilvl="1" w:tplc="2D242222" w:tentative="1">
      <w:start w:val="1"/>
      <w:numFmt w:val="bullet"/>
      <w:lvlText w:val="•"/>
      <w:lvlJc w:val="left"/>
      <w:pPr>
        <w:tabs>
          <w:tab w:val="num" w:pos="1440"/>
        </w:tabs>
        <w:ind w:left="1440" w:hanging="360"/>
      </w:pPr>
      <w:rPr>
        <w:rFonts w:ascii="Arial" w:hAnsi="Arial" w:hint="default"/>
      </w:rPr>
    </w:lvl>
    <w:lvl w:ilvl="2" w:tplc="E6D06EAA" w:tentative="1">
      <w:start w:val="1"/>
      <w:numFmt w:val="bullet"/>
      <w:lvlText w:val="•"/>
      <w:lvlJc w:val="left"/>
      <w:pPr>
        <w:tabs>
          <w:tab w:val="num" w:pos="2160"/>
        </w:tabs>
        <w:ind w:left="2160" w:hanging="360"/>
      </w:pPr>
      <w:rPr>
        <w:rFonts w:ascii="Arial" w:hAnsi="Arial" w:hint="default"/>
      </w:rPr>
    </w:lvl>
    <w:lvl w:ilvl="3" w:tplc="04B4B2CE" w:tentative="1">
      <w:start w:val="1"/>
      <w:numFmt w:val="bullet"/>
      <w:lvlText w:val="•"/>
      <w:lvlJc w:val="left"/>
      <w:pPr>
        <w:tabs>
          <w:tab w:val="num" w:pos="2880"/>
        </w:tabs>
        <w:ind w:left="2880" w:hanging="360"/>
      </w:pPr>
      <w:rPr>
        <w:rFonts w:ascii="Arial" w:hAnsi="Arial" w:hint="default"/>
      </w:rPr>
    </w:lvl>
    <w:lvl w:ilvl="4" w:tplc="4038F780" w:tentative="1">
      <w:start w:val="1"/>
      <w:numFmt w:val="bullet"/>
      <w:lvlText w:val="•"/>
      <w:lvlJc w:val="left"/>
      <w:pPr>
        <w:tabs>
          <w:tab w:val="num" w:pos="3600"/>
        </w:tabs>
        <w:ind w:left="3600" w:hanging="360"/>
      </w:pPr>
      <w:rPr>
        <w:rFonts w:ascii="Arial" w:hAnsi="Arial" w:hint="default"/>
      </w:rPr>
    </w:lvl>
    <w:lvl w:ilvl="5" w:tplc="6E82E964" w:tentative="1">
      <w:start w:val="1"/>
      <w:numFmt w:val="bullet"/>
      <w:lvlText w:val="•"/>
      <w:lvlJc w:val="left"/>
      <w:pPr>
        <w:tabs>
          <w:tab w:val="num" w:pos="4320"/>
        </w:tabs>
        <w:ind w:left="4320" w:hanging="360"/>
      </w:pPr>
      <w:rPr>
        <w:rFonts w:ascii="Arial" w:hAnsi="Arial" w:hint="default"/>
      </w:rPr>
    </w:lvl>
    <w:lvl w:ilvl="6" w:tplc="33746DFA" w:tentative="1">
      <w:start w:val="1"/>
      <w:numFmt w:val="bullet"/>
      <w:lvlText w:val="•"/>
      <w:lvlJc w:val="left"/>
      <w:pPr>
        <w:tabs>
          <w:tab w:val="num" w:pos="5040"/>
        </w:tabs>
        <w:ind w:left="5040" w:hanging="360"/>
      </w:pPr>
      <w:rPr>
        <w:rFonts w:ascii="Arial" w:hAnsi="Arial" w:hint="default"/>
      </w:rPr>
    </w:lvl>
    <w:lvl w:ilvl="7" w:tplc="69DA642C" w:tentative="1">
      <w:start w:val="1"/>
      <w:numFmt w:val="bullet"/>
      <w:lvlText w:val="•"/>
      <w:lvlJc w:val="left"/>
      <w:pPr>
        <w:tabs>
          <w:tab w:val="num" w:pos="5760"/>
        </w:tabs>
        <w:ind w:left="5760" w:hanging="360"/>
      </w:pPr>
      <w:rPr>
        <w:rFonts w:ascii="Arial" w:hAnsi="Arial" w:hint="default"/>
      </w:rPr>
    </w:lvl>
    <w:lvl w:ilvl="8" w:tplc="83CA40EA" w:tentative="1">
      <w:start w:val="1"/>
      <w:numFmt w:val="bullet"/>
      <w:lvlText w:val="•"/>
      <w:lvlJc w:val="left"/>
      <w:pPr>
        <w:tabs>
          <w:tab w:val="num" w:pos="6480"/>
        </w:tabs>
        <w:ind w:left="6480" w:hanging="360"/>
      </w:pPr>
      <w:rPr>
        <w:rFonts w:ascii="Arial" w:hAnsi="Arial" w:hint="default"/>
      </w:rPr>
    </w:lvl>
  </w:abstractNum>
  <w:abstractNum w:abstractNumId="9">
    <w:nsid w:val="4E2D48AE"/>
    <w:multiLevelType w:val="hybridMultilevel"/>
    <w:tmpl w:val="1EB2F14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0">
    <w:nsid w:val="4FAE0185"/>
    <w:multiLevelType w:val="hybridMultilevel"/>
    <w:tmpl w:val="110660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33151A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15612F"/>
    <w:multiLevelType w:val="hybridMultilevel"/>
    <w:tmpl w:val="226268B2"/>
    <w:lvl w:ilvl="0" w:tplc="033690E2">
      <w:start w:val="1"/>
      <w:numFmt w:val="bullet"/>
      <w:lvlText w:val="•"/>
      <w:lvlJc w:val="left"/>
      <w:pPr>
        <w:tabs>
          <w:tab w:val="num" w:pos="720"/>
        </w:tabs>
        <w:ind w:left="720" w:hanging="360"/>
      </w:pPr>
      <w:rPr>
        <w:rFonts w:ascii="Arial" w:hAnsi="Arial" w:hint="default"/>
      </w:rPr>
    </w:lvl>
    <w:lvl w:ilvl="1" w:tplc="D760FE6A" w:tentative="1">
      <w:start w:val="1"/>
      <w:numFmt w:val="bullet"/>
      <w:lvlText w:val="•"/>
      <w:lvlJc w:val="left"/>
      <w:pPr>
        <w:tabs>
          <w:tab w:val="num" w:pos="1440"/>
        </w:tabs>
        <w:ind w:left="1440" w:hanging="360"/>
      </w:pPr>
      <w:rPr>
        <w:rFonts w:ascii="Arial" w:hAnsi="Arial" w:hint="default"/>
      </w:rPr>
    </w:lvl>
    <w:lvl w:ilvl="2" w:tplc="F6E43442" w:tentative="1">
      <w:start w:val="1"/>
      <w:numFmt w:val="bullet"/>
      <w:lvlText w:val="•"/>
      <w:lvlJc w:val="left"/>
      <w:pPr>
        <w:tabs>
          <w:tab w:val="num" w:pos="2160"/>
        </w:tabs>
        <w:ind w:left="2160" w:hanging="360"/>
      </w:pPr>
      <w:rPr>
        <w:rFonts w:ascii="Arial" w:hAnsi="Arial" w:hint="default"/>
      </w:rPr>
    </w:lvl>
    <w:lvl w:ilvl="3" w:tplc="1AB29F4E" w:tentative="1">
      <w:start w:val="1"/>
      <w:numFmt w:val="bullet"/>
      <w:lvlText w:val="•"/>
      <w:lvlJc w:val="left"/>
      <w:pPr>
        <w:tabs>
          <w:tab w:val="num" w:pos="2880"/>
        </w:tabs>
        <w:ind w:left="2880" w:hanging="360"/>
      </w:pPr>
      <w:rPr>
        <w:rFonts w:ascii="Arial" w:hAnsi="Arial" w:hint="default"/>
      </w:rPr>
    </w:lvl>
    <w:lvl w:ilvl="4" w:tplc="FEFC936C" w:tentative="1">
      <w:start w:val="1"/>
      <w:numFmt w:val="bullet"/>
      <w:lvlText w:val="•"/>
      <w:lvlJc w:val="left"/>
      <w:pPr>
        <w:tabs>
          <w:tab w:val="num" w:pos="3600"/>
        </w:tabs>
        <w:ind w:left="3600" w:hanging="360"/>
      </w:pPr>
      <w:rPr>
        <w:rFonts w:ascii="Arial" w:hAnsi="Arial" w:hint="default"/>
      </w:rPr>
    </w:lvl>
    <w:lvl w:ilvl="5" w:tplc="32565DDA" w:tentative="1">
      <w:start w:val="1"/>
      <w:numFmt w:val="bullet"/>
      <w:lvlText w:val="•"/>
      <w:lvlJc w:val="left"/>
      <w:pPr>
        <w:tabs>
          <w:tab w:val="num" w:pos="4320"/>
        </w:tabs>
        <w:ind w:left="4320" w:hanging="360"/>
      </w:pPr>
      <w:rPr>
        <w:rFonts w:ascii="Arial" w:hAnsi="Arial" w:hint="default"/>
      </w:rPr>
    </w:lvl>
    <w:lvl w:ilvl="6" w:tplc="CAA4885C" w:tentative="1">
      <w:start w:val="1"/>
      <w:numFmt w:val="bullet"/>
      <w:lvlText w:val="•"/>
      <w:lvlJc w:val="left"/>
      <w:pPr>
        <w:tabs>
          <w:tab w:val="num" w:pos="5040"/>
        </w:tabs>
        <w:ind w:left="5040" w:hanging="360"/>
      </w:pPr>
      <w:rPr>
        <w:rFonts w:ascii="Arial" w:hAnsi="Arial" w:hint="default"/>
      </w:rPr>
    </w:lvl>
    <w:lvl w:ilvl="7" w:tplc="99F27832" w:tentative="1">
      <w:start w:val="1"/>
      <w:numFmt w:val="bullet"/>
      <w:lvlText w:val="•"/>
      <w:lvlJc w:val="left"/>
      <w:pPr>
        <w:tabs>
          <w:tab w:val="num" w:pos="5760"/>
        </w:tabs>
        <w:ind w:left="5760" w:hanging="360"/>
      </w:pPr>
      <w:rPr>
        <w:rFonts w:ascii="Arial" w:hAnsi="Arial" w:hint="default"/>
      </w:rPr>
    </w:lvl>
    <w:lvl w:ilvl="8" w:tplc="A63E4C58" w:tentative="1">
      <w:start w:val="1"/>
      <w:numFmt w:val="bullet"/>
      <w:lvlText w:val="•"/>
      <w:lvlJc w:val="left"/>
      <w:pPr>
        <w:tabs>
          <w:tab w:val="num" w:pos="6480"/>
        </w:tabs>
        <w:ind w:left="6480" w:hanging="360"/>
      </w:pPr>
      <w:rPr>
        <w:rFonts w:ascii="Arial" w:hAnsi="Arial" w:hint="default"/>
      </w:rPr>
    </w:lvl>
  </w:abstractNum>
  <w:abstractNum w:abstractNumId="13">
    <w:nsid w:val="58CE3157"/>
    <w:multiLevelType w:val="multilevel"/>
    <w:tmpl w:val="3698BBA6"/>
    <w:lvl w:ilvl="0">
      <w:start w:val="3"/>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DFD09D3"/>
    <w:multiLevelType w:val="hybridMultilevel"/>
    <w:tmpl w:val="374E0298"/>
    <w:lvl w:ilvl="0" w:tplc="0416000F">
      <w:start w:val="1"/>
      <w:numFmt w:val="decimal"/>
      <w:lvlText w:val="%1."/>
      <w:lvlJc w:val="left"/>
      <w:pPr>
        <w:ind w:left="766" w:hanging="360"/>
      </w:p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5">
    <w:nsid w:val="6954116F"/>
    <w:multiLevelType w:val="hybridMultilevel"/>
    <w:tmpl w:val="EF9CD23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6">
    <w:nsid w:val="6CC20A20"/>
    <w:multiLevelType w:val="hybridMultilevel"/>
    <w:tmpl w:val="231A21C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D56518F"/>
    <w:multiLevelType w:val="hybridMultilevel"/>
    <w:tmpl w:val="D33AE388"/>
    <w:lvl w:ilvl="0" w:tplc="0416000F">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77607D2A"/>
    <w:multiLevelType w:val="hybridMultilevel"/>
    <w:tmpl w:val="1FDC878A"/>
    <w:lvl w:ilvl="0" w:tplc="5FB4ED1E">
      <w:start w:val="1"/>
      <w:numFmt w:val="bullet"/>
      <w:lvlText w:val="•"/>
      <w:lvlJc w:val="left"/>
      <w:pPr>
        <w:tabs>
          <w:tab w:val="num" w:pos="720"/>
        </w:tabs>
        <w:ind w:left="720" w:hanging="360"/>
      </w:pPr>
      <w:rPr>
        <w:rFonts w:ascii="Arial" w:hAnsi="Arial" w:hint="default"/>
      </w:rPr>
    </w:lvl>
    <w:lvl w:ilvl="1" w:tplc="4056A010" w:tentative="1">
      <w:start w:val="1"/>
      <w:numFmt w:val="bullet"/>
      <w:lvlText w:val="•"/>
      <w:lvlJc w:val="left"/>
      <w:pPr>
        <w:tabs>
          <w:tab w:val="num" w:pos="1440"/>
        </w:tabs>
        <w:ind w:left="1440" w:hanging="360"/>
      </w:pPr>
      <w:rPr>
        <w:rFonts w:ascii="Arial" w:hAnsi="Arial" w:hint="default"/>
      </w:rPr>
    </w:lvl>
    <w:lvl w:ilvl="2" w:tplc="2B92FA86" w:tentative="1">
      <w:start w:val="1"/>
      <w:numFmt w:val="bullet"/>
      <w:lvlText w:val="•"/>
      <w:lvlJc w:val="left"/>
      <w:pPr>
        <w:tabs>
          <w:tab w:val="num" w:pos="2160"/>
        </w:tabs>
        <w:ind w:left="2160" w:hanging="360"/>
      </w:pPr>
      <w:rPr>
        <w:rFonts w:ascii="Arial" w:hAnsi="Arial" w:hint="default"/>
      </w:rPr>
    </w:lvl>
    <w:lvl w:ilvl="3" w:tplc="7E8C45B6" w:tentative="1">
      <w:start w:val="1"/>
      <w:numFmt w:val="bullet"/>
      <w:lvlText w:val="•"/>
      <w:lvlJc w:val="left"/>
      <w:pPr>
        <w:tabs>
          <w:tab w:val="num" w:pos="2880"/>
        </w:tabs>
        <w:ind w:left="2880" w:hanging="360"/>
      </w:pPr>
      <w:rPr>
        <w:rFonts w:ascii="Arial" w:hAnsi="Arial" w:hint="default"/>
      </w:rPr>
    </w:lvl>
    <w:lvl w:ilvl="4" w:tplc="BC14F66C" w:tentative="1">
      <w:start w:val="1"/>
      <w:numFmt w:val="bullet"/>
      <w:lvlText w:val="•"/>
      <w:lvlJc w:val="left"/>
      <w:pPr>
        <w:tabs>
          <w:tab w:val="num" w:pos="3600"/>
        </w:tabs>
        <w:ind w:left="3600" w:hanging="360"/>
      </w:pPr>
      <w:rPr>
        <w:rFonts w:ascii="Arial" w:hAnsi="Arial" w:hint="default"/>
      </w:rPr>
    </w:lvl>
    <w:lvl w:ilvl="5" w:tplc="168C743E" w:tentative="1">
      <w:start w:val="1"/>
      <w:numFmt w:val="bullet"/>
      <w:lvlText w:val="•"/>
      <w:lvlJc w:val="left"/>
      <w:pPr>
        <w:tabs>
          <w:tab w:val="num" w:pos="4320"/>
        </w:tabs>
        <w:ind w:left="4320" w:hanging="360"/>
      </w:pPr>
      <w:rPr>
        <w:rFonts w:ascii="Arial" w:hAnsi="Arial" w:hint="default"/>
      </w:rPr>
    </w:lvl>
    <w:lvl w:ilvl="6" w:tplc="E612EACA" w:tentative="1">
      <w:start w:val="1"/>
      <w:numFmt w:val="bullet"/>
      <w:lvlText w:val="•"/>
      <w:lvlJc w:val="left"/>
      <w:pPr>
        <w:tabs>
          <w:tab w:val="num" w:pos="5040"/>
        </w:tabs>
        <w:ind w:left="5040" w:hanging="360"/>
      </w:pPr>
      <w:rPr>
        <w:rFonts w:ascii="Arial" w:hAnsi="Arial" w:hint="default"/>
      </w:rPr>
    </w:lvl>
    <w:lvl w:ilvl="7" w:tplc="EDA8C658" w:tentative="1">
      <w:start w:val="1"/>
      <w:numFmt w:val="bullet"/>
      <w:lvlText w:val="•"/>
      <w:lvlJc w:val="left"/>
      <w:pPr>
        <w:tabs>
          <w:tab w:val="num" w:pos="5760"/>
        </w:tabs>
        <w:ind w:left="5760" w:hanging="360"/>
      </w:pPr>
      <w:rPr>
        <w:rFonts w:ascii="Arial" w:hAnsi="Arial" w:hint="default"/>
      </w:rPr>
    </w:lvl>
    <w:lvl w:ilvl="8" w:tplc="9580DEB8" w:tentative="1">
      <w:start w:val="1"/>
      <w:numFmt w:val="bullet"/>
      <w:lvlText w:val="•"/>
      <w:lvlJc w:val="left"/>
      <w:pPr>
        <w:tabs>
          <w:tab w:val="num" w:pos="6480"/>
        </w:tabs>
        <w:ind w:left="6480" w:hanging="360"/>
      </w:pPr>
      <w:rPr>
        <w:rFonts w:ascii="Arial" w:hAnsi="Arial" w:hint="default"/>
      </w:rPr>
    </w:lvl>
  </w:abstractNum>
  <w:abstractNum w:abstractNumId="19">
    <w:nsid w:val="7F03694B"/>
    <w:multiLevelType w:val="hybridMultilevel"/>
    <w:tmpl w:val="17DCB4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18"/>
  </w:num>
  <w:num w:numId="5">
    <w:abstractNumId w:val="4"/>
  </w:num>
  <w:num w:numId="6">
    <w:abstractNumId w:val="2"/>
  </w:num>
  <w:num w:numId="7">
    <w:abstractNumId w:val="17"/>
  </w:num>
  <w:num w:numId="8">
    <w:abstractNumId w:val="15"/>
  </w:num>
  <w:num w:numId="9">
    <w:abstractNumId w:val="9"/>
  </w:num>
  <w:num w:numId="10">
    <w:abstractNumId w:val="6"/>
  </w:num>
  <w:num w:numId="11">
    <w:abstractNumId w:val="19"/>
  </w:num>
  <w:num w:numId="12">
    <w:abstractNumId w:val="13"/>
  </w:num>
  <w:num w:numId="13">
    <w:abstractNumId w:val="11"/>
  </w:num>
  <w:num w:numId="14">
    <w:abstractNumId w:val="0"/>
  </w:num>
  <w:num w:numId="15">
    <w:abstractNumId w:val="1"/>
  </w:num>
  <w:num w:numId="16">
    <w:abstractNumId w:val="10"/>
  </w:num>
  <w:num w:numId="17">
    <w:abstractNumId w:val="7"/>
  </w:num>
  <w:num w:numId="18">
    <w:abstractNumId w:val="5"/>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26"/>
    <w:rsid w:val="000F5173"/>
    <w:rsid w:val="00123714"/>
    <w:rsid w:val="00191914"/>
    <w:rsid w:val="001A464C"/>
    <w:rsid w:val="002013AA"/>
    <w:rsid w:val="00244E1F"/>
    <w:rsid w:val="00264EA1"/>
    <w:rsid w:val="00266148"/>
    <w:rsid w:val="00270C08"/>
    <w:rsid w:val="0027235A"/>
    <w:rsid w:val="002A5EF9"/>
    <w:rsid w:val="002B719F"/>
    <w:rsid w:val="002F25CA"/>
    <w:rsid w:val="00305A24"/>
    <w:rsid w:val="00310039"/>
    <w:rsid w:val="003A559D"/>
    <w:rsid w:val="003B7580"/>
    <w:rsid w:val="003F7755"/>
    <w:rsid w:val="00412C4A"/>
    <w:rsid w:val="0041546A"/>
    <w:rsid w:val="00425421"/>
    <w:rsid w:val="004521E1"/>
    <w:rsid w:val="004B040B"/>
    <w:rsid w:val="004B70E5"/>
    <w:rsid w:val="004D13AD"/>
    <w:rsid w:val="00515872"/>
    <w:rsid w:val="00545C60"/>
    <w:rsid w:val="005753DA"/>
    <w:rsid w:val="00585565"/>
    <w:rsid w:val="005953A0"/>
    <w:rsid w:val="005B28B6"/>
    <w:rsid w:val="00641428"/>
    <w:rsid w:val="006560C7"/>
    <w:rsid w:val="006765F4"/>
    <w:rsid w:val="00687BFD"/>
    <w:rsid w:val="006A19C8"/>
    <w:rsid w:val="006C4966"/>
    <w:rsid w:val="006E36E4"/>
    <w:rsid w:val="00707BB0"/>
    <w:rsid w:val="007126EC"/>
    <w:rsid w:val="00751727"/>
    <w:rsid w:val="0078180D"/>
    <w:rsid w:val="007B268C"/>
    <w:rsid w:val="007B554C"/>
    <w:rsid w:val="007C3E88"/>
    <w:rsid w:val="00803F15"/>
    <w:rsid w:val="0081108C"/>
    <w:rsid w:val="00815C55"/>
    <w:rsid w:val="0083784A"/>
    <w:rsid w:val="00841540"/>
    <w:rsid w:val="00864AC5"/>
    <w:rsid w:val="008777E1"/>
    <w:rsid w:val="008A61E9"/>
    <w:rsid w:val="008C01A0"/>
    <w:rsid w:val="008D1281"/>
    <w:rsid w:val="00904D58"/>
    <w:rsid w:val="009221FB"/>
    <w:rsid w:val="0094135C"/>
    <w:rsid w:val="009468AE"/>
    <w:rsid w:val="00955C19"/>
    <w:rsid w:val="00972A54"/>
    <w:rsid w:val="009A755C"/>
    <w:rsid w:val="009C426F"/>
    <w:rsid w:val="009D0EF7"/>
    <w:rsid w:val="009F5533"/>
    <w:rsid w:val="00A52149"/>
    <w:rsid w:val="00A83A4F"/>
    <w:rsid w:val="00A86177"/>
    <w:rsid w:val="00AA5D11"/>
    <w:rsid w:val="00AB160C"/>
    <w:rsid w:val="00AB3555"/>
    <w:rsid w:val="00AE0AC0"/>
    <w:rsid w:val="00B04C47"/>
    <w:rsid w:val="00B243D6"/>
    <w:rsid w:val="00B5070A"/>
    <w:rsid w:val="00B632DD"/>
    <w:rsid w:val="00B75F0D"/>
    <w:rsid w:val="00B82665"/>
    <w:rsid w:val="00B836E1"/>
    <w:rsid w:val="00BB3951"/>
    <w:rsid w:val="00BB3C0F"/>
    <w:rsid w:val="00BB4CBE"/>
    <w:rsid w:val="00BB4F6B"/>
    <w:rsid w:val="00BB6299"/>
    <w:rsid w:val="00BD45FF"/>
    <w:rsid w:val="00BD4655"/>
    <w:rsid w:val="00BE1F4E"/>
    <w:rsid w:val="00BF5EAC"/>
    <w:rsid w:val="00C12A1F"/>
    <w:rsid w:val="00C66834"/>
    <w:rsid w:val="00C677EE"/>
    <w:rsid w:val="00C7281C"/>
    <w:rsid w:val="00C84457"/>
    <w:rsid w:val="00C9730F"/>
    <w:rsid w:val="00CB1E8E"/>
    <w:rsid w:val="00CC3792"/>
    <w:rsid w:val="00CC3E23"/>
    <w:rsid w:val="00D372BA"/>
    <w:rsid w:val="00D44FE3"/>
    <w:rsid w:val="00D5014C"/>
    <w:rsid w:val="00D567EB"/>
    <w:rsid w:val="00D71000"/>
    <w:rsid w:val="00D81DF8"/>
    <w:rsid w:val="00D87426"/>
    <w:rsid w:val="00D92456"/>
    <w:rsid w:val="00D935B8"/>
    <w:rsid w:val="00DA46DB"/>
    <w:rsid w:val="00DB5CA9"/>
    <w:rsid w:val="00E6150C"/>
    <w:rsid w:val="00E71677"/>
    <w:rsid w:val="00E73046"/>
    <w:rsid w:val="00E86586"/>
    <w:rsid w:val="00E90C4A"/>
    <w:rsid w:val="00E97A92"/>
    <w:rsid w:val="00EC6BB5"/>
    <w:rsid w:val="00ED172E"/>
    <w:rsid w:val="00EE2CA5"/>
    <w:rsid w:val="00F17701"/>
    <w:rsid w:val="00F52A76"/>
    <w:rsid w:val="00FB0A8E"/>
    <w:rsid w:val="00FD78C7"/>
    <w:rsid w:val="00FE784F"/>
    <w:rsid w:val="00FF26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6AD"/>
  </w:style>
  <w:style w:type="paragraph" w:styleId="Ttulo1">
    <w:name w:val="heading 1"/>
    <w:basedOn w:val="Normal"/>
    <w:next w:val="Normal"/>
    <w:link w:val="Ttulo1Char"/>
    <w:uiPriority w:val="9"/>
    <w:qFormat/>
    <w:rsid w:val="00EE2CA5"/>
    <w:pPr>
      <w:keepNext/>
      <w:keepLines/>
      <w:spacing w:before="240" w:after="0"/>
      <w:outlineLvl w:val="0"/>
    </w:pPr>
    <w:rPr>
      <w:rFonts w:eastAsiaTheme="majorEastAsia" w:cstheme="majorBidi"/>
      <w:b/>
      <w:color w:val="008080"/>
      <w:sz w:val="28"/>
      <w:szCs w:val="32"/>
      <w:u w:val="single"/>
    </w:rPr>
  </w:style>
  <w:style w:type="paragraph" w:styleId="Ttulo2">
    <w:name w:val="heading 2"/>
    <w:basedOn w:val="Normal"/>
    <w:next w:val="Normal"/>
    <w:link w:val="Ttulo2Char"/>
    <w:uiPriority w:val="9"/>
    <w:unhideWhenUsed/>
    <w:qFormat/>
    <w:rsid w:val="00EE2CA5"/>
    <w:pPr>
      <w:keepNext/>
      <w:keepLines/>
      <w:spacing w:before="40" w:after="0"/>
      <w:outlineLvl w:val="1"/>
    </w:pPr>
    <w:rPr>
      <w:rFonts w:asciiTheme="majorHAnsi" w:eastAsiaTheme="majorEastAsia" w:hAnsiTheme="majorHAnsi" w:cstheme="majorBidi"/>
      <w:b/>
      <w:color w:val="009999"/>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74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7426"/>
  </w:style>
  <w:style w:type="paragraph" w:styleId="Rodap">
    <w:name w:val="footer"/>
    <w:basedOn w:val="Normal"/>
    <w:link w:val="RodapChar"/>
    <w:uiPriority w:val="99"/>
    <w:unhideWhenUsed/>
    <w:rsid w:val="00D87426"/>
    <w:pPr>
      <w:tabs>
        <w:tab w:val="center" w:pos="4252"/>
        <w:tab w:val="right" w:pos="8504"/>
      </w:tabs>
      <w:spacing w:after="0" w:line="240" w:lineRule="auto"/>
    </w:pPr>
  </w:style>
  <w:style w:type="character" w:customStyle="1" w:styleId="RodapChar">
    <w:name w:val="Rodapé Char"/>
    <w:basedOn w:val="Fontepargpadro"/>
    <w:link w:val="Rodap"/>
    <w:uiPriority w:val="99"/>
    <w:rsid w:val="00D87426"/>
  </w:style>
  <w:style w:type="paragraph" w:styleId="NormalWeb">
    <w:name w:val="Normal (Web)"/>
    <w:basedOn w:val="Normal"/>
    <w:uiPriority w:val="99"/>
    <w:semiHidden/>
    <w:unhideWhenUsed/>
    <w:rsid w:val="00D87426"/>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customStyle="1" w:styleId="Ttulo1Char">
    <w:name w:val="Título 1 Char"/>
    <w:basedOn w:val="Fontepargpadro"/>
    <w:link w:val="Ttulo1"/>
    <w:uiPriority w:val="9"/>
    <w:rsid w:val="00EE2CA5"/>
    <w:rPr>
      <w:rFonts w:eastAsiaTheme="majorEastAsia" w:cstheme="majorBidi"/>
      <w:b/>
      <w:color w:val="008080"/>
      <w:sz w:val="28"/>
      <w:szCs w:val="32"/>
      <w:u w:val="single"/>
    </w:rPr>
  </w:style>
  <w:style w:type="character" w:customStyle="1" w:styleId="Ttulo2Char">
    <w:name w:val="Título 2 Char"/>
    <w:basedOn w:val="Fontepargpadro"/>
    <w:link w:val="Ttulo2"/>
    <w:uiPriority w:val="9"/>
    <w:rsid w:val="00EE2CA5"/>
    <w:rPr>
      <w:rFonts w:asciiTheme="majorHAnsi" w:eastAsiaTheme="majorEastAsia" w:hAnsiTheme="majorHAnsi" w:cstheme="majorBidi"/>
      <w:b/>
      <w:color w:val="009999"/>
      <w:sz w:val="24"/>
      <w:szCs w:val="26"/>
    </w:rPr>
  </w:style>
  <w:style w:type="paragraph" w:styleId="Textodebalo">
    <w:name w:val="Balloon Text"/>
    <w:basedOn w:val="Normal"/>
    <w:link w:val="TextodebaloChar"/>
    <w:uiPriority w:val="99"/>
    <w:semiHidden/>
    <w:unhideWhenUsed/>
    <w:rsid w:val="00CC3E2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C3E23"/>
    <w:rPr>
      <w:rFonts w:ascii="Segoe UI" w:hAnsi="Segoe UI" w:cs="Segoe UI"/>
      <w:sz w:val="18"/>
      <w:szCs w:val="18"/>
    </w:rPr>
  </w:style>
  <w:style w:type="paragraph" w:styleId="Sumrio1">
    <w:name w:val="toc 1"/>
    <w:basedOn w:val="Normal"/>
    <w:next w:val="Normal"/>
    <w:autoRedefine/>
    <w:uiPriority w:val="39"/>
    <w:unhideWhenUsed/>
    <w:rsid w:val="00CC3E23"/>
    <w:pPr>
      <w:spacing w:after="100"/>
    </w:pPr>
  </w:style>
  <w:style w:type="character" w:styleId="Hyperlink">
    <w:name w:val="Hyperlink"/>
    <w:basedOn w:val="Fontepargpadro"/>
    <w:uiPriority w:val="99"/>
    <w:unhideWhenUsed/>
    <w:rsid w:val="00CC3E23"/>
    <w:rPr>
      <w:color w:val="0563C1" w:themeColor="hyperlink"/>
      <w:u w:val="single"/>
    </w:rPr>
  </w:style>
  <w:style w:type="paragraph" w:styleId="CabealhodoSumrio">
    <w:name w:val="TOC Heading"/>
    <w:basedOn w:val="Ttulo1"/>
    <w:next w:val="Normal"/>
    <w:uiPriority w:val="39"/>
    <w:unhideWhenUsed/>
    <w:qFormat/>
    <w:rsid w:val="00CC3E23"/>
    <w:pPr>
      <w:outlineLvl w:val="9"/>
    </w:pPr>
    <w:rPr>
      <w:rFonts w:asciiTheme="majorHAnsi" w:hAnsiTheme="majorHAnsi"/>
      <w:b w:val="0"/>
      <w:color w:val="2E74B5" w:themeColor="accent1" w:themeShade="BF"/>
      <w:sz w:val="32"/>
      <w:u w:val="none"/>
      <w:lang w:eastAsia="pt-BR"/>
    </w:rPr>
  </w:style>
  <w:style w:type="paragraph" w:styleId="Sumrio2">
    <w:name w:val="toc 2"/>
    <w:basedOn w:val="Normal"/>
    <w:next w:val="Normal"/>
    <w:autoRedefine/>
    <w:uiPriority w:val="39"/>
    <w:unhideWhenUsed/>
    <w:rsid w:val="00BB3951"/>
    <w:pPr>
      <w:spacing w:after="100"/>
      <w:ind w:left="220"/>
    </w:pPr>
  </w:style>
  <w:style w:type="paragraph" w:customStyle="1" w:styleId="Default">
    <w:name w:val="Default"/>
    <w:rsid w:val="00B5070A"/>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AA5D11"/>
    <w:pPr>
      <w:ind w:left="720"/>
      <w:contextualSpacing/>
    </w:pPr>
  </w:style>
  <w:style w:type="table" w:customStyle="1" w:styleId="TabeladeLista1Clara1">
    <w:name w:val="Tabela de Lista 1 Clara1"/>
    <w:basedOn w:val="Tabelanormal"/>
    <w:uiPriority w:val="46"/>
    <w:rsid w:val="0042542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21">
    <w:name w:val="Tabela de Grade 21"/>
    <w:basedOn w:val="Tabelanormal"/>
    <w:uiPriority w:val="47"/>
    <w:rsid w:val="0042542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mples31">
    <w:name w:val="Tabela Simples 31"/>
    <w:basedOn w:val="Tabelanormal"/>
    <w:uiPriority w:val="43"/>
    <w:rsid w:val="009468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deGrade2-nfase31">
    <w:name w:val="Tabela de Grade 2 - Ênfase 31"/>
    <w:basedOn w:val="Tabelanormal"/>
    <w:uiPriority w:val="47"/>
    <w:rsid w:val="00AB160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5Escura-nfase31">
    <w:name w:val="Tabela de Grade 5 Escura - Ênfase 31"/>
    <w:basedOn w:val="Tabelanormal"/>
    <w:uiPriority w:val="50"/>
    <w:rsid w:val="00AB1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apple-converted-space">
    <w:name w:val="apple-converted-space"/>
    <w:basedOn w:val="Fontepargpadro"/>
    <w:rsid w:val="001919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6AD"/>
  </w:style>
  <w:style w:type="paragraph" w:styleId="Ttulo1">
    <w:name w:val="heading 1"/>
    <w:basedOn w:val="Normal"/>
    <w:next w:val="Normal"/>
    <w:link w:val="Ttulo1Char"/>
    <w:uiPriority w:val="9"/>
    <w:qFormat/>
    <w:rsid w:val="00EE2CA5"/>
    <w:pPr>
      <w:keepNext/>
      <w:keepLines/>
      <w:spacing w:before="240" w:after="0"/>
      <w:outlineLvl w:val="0"/>
    </w:pPr>
    <w:rPr>
      <w:rFonts w:eastAsiaTheme="majorEastAsia" w:cstheme="majorBidi"/>
      <w:b/>
      <w:color w:val="008080"/>
      <w:sz w:val="28"/>
      <w:szCs w:val="32"/>
      <w:u w:val="single"/>
    </w:rPr>
  </w:style>
  <w:style w:type="paragraph" w:styleId="Ttulo2">
    <w:name w:val="heading 2"/>
    <w:basedOn w:val="Normal"/>
    <w:next w:val="Normal"/>
    <w:link w:val="Ttulo2Char"/>
    <w:uiPriority w:val="9"/>
    <w:unhideWhenUsed/>
    <w:qFormat/>
    <w:rsid w:val="00EE2CA5"/>
    <w:pPr>
      <w:keepNext/>
      <w:keepLines/>
      <w:spacing w:before="40" w:after="0"/>
      <w:outlineLvl w:val="1"/>
    </w:pPr>
    <w:rPr>
      <w:rFonts w:asciiTheme="majorHAnsi" w:eastAsiaTheme="majorEastAsia" w:hAnsiTheme="majorHAnsi" w:cstheme="majorBidi"/>
      <w:b/>
      <w:color w:val="009999"/>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74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7426"/>
  </w:style>
  <w:style w:type="paragraph" w:styleId="Rodap">
    <w:name w:val="footer"/>
    <w:basedOn w:val="Normal"/>
    <w:link w:val="RodapChar"/>
    <w:uiPriority w:val="99"/>
    <w:unhideWhenUsed/>
    <w:rsid w:val="00D87426"/>
    <w:pPr>
      <w:tabs>
        <w:tab w:val="center" w:pos="4252"/>
        <w:tab w:val="right" w:pos="8504"/>
      </w:tabs>
      <w:spacing w:after="0" w:line="240" w:lineRule="auto"/>
    </w:pPr>
  </w:style>
  <w:style w:type="character" w:customStyle="1" w:styleId="RodapChar">
    <w:name w:val="Rodapé Char"/>
    <w:basedOn w:val="Fontepargpadro"/>
    <w:link w:val="Rodap"/>
    <w:uiPriority w:val="99"/>
    <w:rsid w:val="00D87426"/>
  </w:style>
  <w:style w:type="paragraph" w:styleId="NormalWeb">
    <w:name w:val="Normal (Web)"/>
    <w:basedOn w:val="Normal"/>
    <w:uiPriority w:val="99"/>
    <w:semiHidden/>
    <w:unhideWhenUsed/>
    <w:rsid w:val="00D87426"/>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customStyle="1" w:styleId="Ttulo1Char">
    <w:name w:val="Título 1 Char"/>
    <w:basedOn w:val="Fontepargpadro"/>
    <w:link w:val="Ttulo1"/>
    <w:uiPriority w:val="9"/>
    <w:rsid w:val="00EE2CA5"/>
    <w:rPr>
      <w:rFonts w:eastAsiaTheme="majorEastAsia" w:cstheme="majorBidi"/>
      <w:b/>
      <w:color w:val="008080"/>
      <w:sz w:val="28"/>
      <w:szCs w:val="32"/>
      <w:u w:val="single"/>
    </w:rPr>
  </w:style>
  <w:style w:type="character" w:customStyle="1" w:styleId="Ttulo2Char">
    <w:name w:val="Título 2 Char"/>
    <w:basedOn w:val="Fontepargpadro"/>
    <w:link w:val="Ttulo2"/>
    <w:uiPriority w:val="9"/>
    <w:rsid w:val="00EE2CA5"/>
    <w:rPr>
      <w:rFonts w:asciiTheme="majorHAnsi" w:eastAsiaTheme="majorEastAsia" w:hAnsiTheme="majorHAnsi" w:cstheme="majorBidi"/>
      <w:b/>
      <w:color w:val="009999"/>
      <w:sz w:val="24"/>
      <w:szCs w:val="26"/>
    </w:rPr>
  </w:style>
  <w:style w:type="paragraph" w:styleId="Textodebalo">
    <w:name w:val="Balloon Text"/>
    <w:basedOn w:val="Normal"/>
    <w:link w:val="TextodebaloChar"/>
    <w:uiPriority w:val="99"/>
    <w:semiHidden/>
    <w:unhideWhenUsed/>
    <w:rsid w:val="00CC3E2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C3E23"/>
    <w:rPr>
      <w:rFonts w:ascii="Segoe UI" w:hAnsi="Segoe UI" w:cs="Segoe UI"/>
      <w:sz w:val="18"/>
      <w:szCs w:val="18"/>
    </w:rPr>
  </w:style>
  <w:style w:type="paragraph" w:styleId="Sumrio1">
    <w:name w:val="toc 1"/>
    <w:basedOn w:val="Normal"/>
    <w:next w:val="Normal"/>
    <w:autoRedefine/>
    <w:uiPriority w:val="39"/>
    <w:unhideWhenUsed/>
    <w:rsid w:val="00CC3E23"/>
    <w:pPr>
      <w:spacing w:after="100"/>
    </w:pPr>
  </w:style>
  <w:style w:type="character" w:styleId="Hyperlink">
    <w:name w:val="Hyperlink"/>
    <w:basedOn w:val="Fontepargpadro"/>
    <w:uiPriority w:val="99"/>
    <w:unhideWhenUsed/>
    <w:rsid w:val="00CC3E23"/>
    <w:rPr>
      <w:color w:val="0563C1" w:themeColor="hyperlink"/>
      <w:u w:val="single"/>
    </w:rPr>
  </w:style>
  <w:style w:type="paragraph" w:styleId="CabealhodoSumrio">
    <w:name w:val="TOC Heading"/>
    <w:basedOn w:val="Ttulo1"/>
    <w:next w:val="Normal"/>
    <w:uiPriority w:val="39"/>
    <w:unhideWhenUsed/>
    <w:qFormat/>
    <w:rsid w:val="00CC3E23"/>
    <w:pPr>
      <w:outlineLvl w:val="9"/>
    </w:pPr>
    <w:rPr>
      <w:rFonts w:asciiTheme="majorHAnsi" w:hAnsiTheme="majorHAnsi"/>
      <w:b w:val="0"/>
      <w:color w:val="2E74B5" w:themeColor="accent1" w:themeShade="BF"/>
      <w:sz w:val="32"/>
      <w:u w:val="none"/>
      <w:lang w:eastAsia="pt-BR"/>
    </w:rPr>
  </w:style>
  <w:style w:type="paragraph" w:styleId="Sumrio2">
    <w:name w:val="toc 2"/>
    <w:basedOn w:val="Normal"/>
    <w:next w:val="Normal"/>
    <w:autoRedefine/>
    <w:uiPriority w:val="39"/>
    <w:unhideWhenUsed/>
    <w:rsid w:val="00BB3951"/>
    <w:pPr>
      <w:spacing w:after="100"/>
      <w:ind w:left="220"/>
    </w:pPr>
  </w:style>
  <w:style w:type="paragraph" w:customStyle="1" w:styleId="Default">
    <w:name w:val="Default"/>
    <w:rsid w:val="00B5070A"/>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AA5D11"/>
    <w:pPr>
      <w:ind w:left="720"/>
      <w:contextualSpacing/>
    </w:pPr>
  </w:style>
  <w:style w:type="table" w:customStyle="1" w:styleId="TabeladeLista1Clara1">
    <w:name w:val="Tabela de Lista 1 Clara1"/>
    <w:basedOn w:val="Tabelanormal"/>
    <w:uiPriority w:val="46"/>
    <w:rsid w:val="0042542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21">
    <w:name w:val="Tabela de Grade 21"/>
    <w:basedOn w:val="Tabelanormal"/>
    <w:uiPriority w:val="47"/>
    <w:rsid w:val="0042542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mples31">
    <w:name w:val="Tabela Simples 31"/>
    <w:basedOn w:val="Tabelanormal"/>
    <w:uiPriority w:val="43"/>
    <w:rsid w:val="009468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deGrade2-nfase31">
    <w:name w:val="Tabela de Grade 2 - Ênfase 31"/>
    <w:basedOn w:val="Tabelanormal"/>
    <w:uiPriority w:val="47"/>
    <w:rsid w:val="00AB160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5Escura-nfase31">
    <w:name w:val="Tabela de Grade 5 Escura - Ênfase 31"/>
    <w:basedOn w:val="Tabelanormal"/>
    <w:uiPriority w:val="50"/>
    <w:rsid w:val="00AB1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apple-converted-space">
    <w:name w:val="apple-converted-space"/>
    <w:basedOn w:val="Fontepargpadro"/>
    <w:rsid w:val="0019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9436">
      <w:bodyDiv w:val="1"/>
      <w:marLeft w:val="0"/>
      <w:marRight w:val="0"/>
      <w:marTop w:val="0"/>
      <w:marBottom w:val="0"/>
      <w:divBdr>
        <w:top w:val="none" w:sz="0" w:space="0" w:color="auto"/>
        <w:left w:val="none" w:sz="0" w:space="0" w:color="auto"/>
        <w:bottom w:val="none" w:sz="0" w:space="0" w:color="auto"/>
        <w:right w:val="none" w:sz="0" w:space="0" w:color="auto"/>
      </w:divBdr>
    </w:div>
    <w:div w:id="178588826">
      <w:bodyDiv w:val="1"/>
      <w:marLeft w:val="0"/>
      <w:marRight w:val="0"/>
      <w:marTop w:val="0"/>
      <w:marBottom w:val="0"/>
      <w:divBdr>
        <w:top w:val="none" w:sz="0" w:space="0" w:color="auto"/>
        <w:left w:val="none" w:sz="0" w:space="0" w:color="auto"/>
        <w:bottom w:val="none" w:sz="0" w:space="0" w:color="auto"/>
        <w:right w:val="none" w:sz="0" w:space="0" w:color="auto"/>
      </w:divBdr>
    </w:div>
    <w:div w:id="286817017">
      <w:bodyDiv w:val="1"/>
      <w:marLeft w:val="0"/>
      <w:marRight w:val="0"/>
      <w:marTop w:val="0"/>
      <w:marBottom w:val="0"/>
      <w:divBdr>
        <w:top w:val="none" w:sz="0" w:space="0" w:color="auto"/>
        <w:left w:val="none" w:sz="0" w:space="0" w:color="auto"/>
        <w:bottom w:val="none" w:sz="0" w:space="0" w:color="auto"/>
        <w:right w:val="none" w:sz="0" w:space="0" w:color="auto"/>
      </w:divBdr>
    </w:div>
    <w:div w:id="308487495">
      <w:bodyDiv w:val="1"/>
      <w:marLeft w:val="0"/>
      <w:marRight w:val="0"/>
      <w:marTop w:val="0"/>
      <w:marBottom w:val="0"/>
      <w:divBdr>
        <w:top w:val="none" w:sz="0" w:space="0" w:color="auto"/>
        <w:left w:val="none" w:sz="0" w:space="0" w:color="auto"/>
        <w:bottom w:val="none" w:sz="0" w:space="0" w:color="auto"/>
        <w:right w:val="none" w:sz="0" w:space="0" w:color="auto"/>
      </w:divBdr>
      <w:divsChild>
        <w:div w:id="71514103">
          <w:marLeft w:val="446"/>
          <w:marRight w:val="0"/>
          <w:marTop w:val="120"/>
          <w:marBottom w:val="120"/>
          <w:divBdr>
            <w:top w:val="none" w:sz="0" w:space="0" w:color="auto"/>
            <w:left w:val="none" w:sz="0" w:space="0" w:color="auto"/>
            <w:bottom w:val="none" w:sz="0" w:space="0" w:color="auto"/>
            <w:right w:val="none" w:sz="0" w:space="0" w:color="auto"/>
          </w:divBdr>
        </w:div>
        <w:div w:id="571427691">
          <w:marLeft w:val="446"/>
          <w:marRight w:val="0"/>
          <w:marTop w:val="120"/>
          <w:marBottom w:val="120"/>
          <w:divBdr>
            <w:top w:val="none" w:sz="0" w:space="0" w:color="auto"/>
            <w:left w:val="none" w:sz="0" w:space="0" w:color="auto"/>
            <w:bottom w:val="none" w:sz="0" w:space="0" w:color="auto"/>
            <w:right w:val="none" w:sz="0" w:space="0" w:color="auto"/>
          </w:divBdr>
        </w:div>
        <w:div w:id="932669232">
          <w:marLeft w:val="446"/>
          <w:marRight w:val="0"/>
          <w:marTop w:val="120"/>
          <w:marBottom w:val="120"/>
          <w:divBdr>
            <w:top w:val="none" w:sz="0" w:space="0" w:color="auto"/>
            <w:left w:val="none" w:sz="0" w:space="0" w:color="auto"/>
            <w:bottom w:val="none" w:sz="0" w:space="0" w:color="auto"/>
            <w:right w:val="none" w:sz="0" w:space="0" w:color="auto"/>
          </w:divBdr>
        </w:div>
        <w:div w:id="1300380973">
          <w:marLeft w:val="446"/>
          <w:marRight w:val="0"/>
          <w:marTop w:val="120"/>
          <w:marBottom w:val="120"/>
          <w:divBdr>
            <w:top w:val="none" w:sz="0" w:space="0" w:color="auto"/>
            <w:left w:val="none" w:sz="0" w:space="0" w:color="auto"/>
            <w:bottom w:val="none" w:sz="0" w:space="0" w:color="auto"/>
            <w:right w:val="none" w:sz="0" w:space="0" w:color="auto"/>
          </w:divBdr>
        </w:div>
        <w:div w:id="1314994137">
          <w:marLeft w:val="446"/>
          <w:marRight w:val="0"/>
          <w:marTop w:val="120"/>
          <w:marBottom w:val="120"/>
          <w:divBdr>
            <w:top w:val="none" w:sz="0" w:space="0" w:color="auto"/>
            <w:left w:val="none" w:sz="0" w:space="0" w:color="auto"/>
            <w:bottom w:val="none" w:sz="0" w:space="0" w:color="auto"/>
            <w:right w:val="none" w:sz="0" w:space="0" w:color="auto"/>
          </w:divBdr>
        </w:div>
        <w:div w:id="1361904560">
          <w:marLeft w:val="446"/>
          <w:marRight w:val="0"/>
          <w:marTop w:val="120"/>
          <w:marBottom w:val="120"/>
          <w:divBdr>
            <w:top w:val="none" w:sz="0" w:space="0" w:color="auto"/>
            <w:left w:val="none" w:sz="0" w:space="0" w:color="auto"/>
            <w:bottom w:val="none" w:sz="0" w:space="0" w:color="auto"/>
            <w:right w:val="none" w:sz="0" w:space="0" w:color="auto"/>
          </w:divBdr>
        </w:div>
        <w:div w:id="1897934956">
          <w:marLeft w:val="446"/>
          <w:marRight w:val="0"/>
          <w:marTop w:val="120"/>
          <w:marBottom w:val="120"/>
          <w:divBdr>
            <w:top w:val="none" w:sz="0" w:space="0" w:color="auto"/>
            <w:left w:val="none" w:sz="0" w:space="0" w:color="auto"/>
            <w:bottom w:val="none" w:sz="0" w:space="0" w:color="auto"/>
            <w:right w:val="none" w:sz="0" w:space="0" w:color="auto"/>
          </w:divBdr>
        </w:div>
        <w:div w:id="2044551275">
          <w:marLeft w:val="446"/>
          <w:marRight w:val="0"/>
          <w:marTop w:val="120"/>
          <w:marBottom w:val="120"/>
          <w:divBdr>
            <w:top w:val="none" w:sz="0" w:space="0" w:color="auto"/>
            <w:left w:val="none" w:sz="0" w:space="0" w:color="auto"/>
            <w:bottom w:val="none" w:sz="0" w:space="0" w:color="auto"/>
            <w:right w:val="none" w:sz="0" w:space="0" w:color="auto"/>
          </w:divBdr>
        </w:div>
        <w:div w:id="2092656089">
          <w:marLeft w:val="446"/>
          <w:marRight w:val="0"/>
          <w:marTop w:val="120"/>
          <w:marBottom w:val="120"/>
          <w:divBdr>
            <w:top w:val="none" w:sz="0" w:space="0" w:color="auto"/>
            <w:left w:val="none" w:sz="0" w:space="0" w:color="auto"/>
            <w:bottom w:val="none" w:sz="0" w:space="0" w:color="auto"/>
            <w:right w:val="none" w:sz="0" w:space="0" w:color="auto"/>
          </w:divBdr>
        </w:div>
      </w:divsChild>
    </w:div>
    <w:div w:id="353269449">
      <w:bodyDiv w:val="1"/>
      <w:marLeft w:val="0"/>
      <w:marRight w:val="0"/>
      <w:marTop w:val="0"/>
      <w:marBottom w:val="0"/>
      <w:divBdr>
        <w:top w:val="none" w:sz="0" w:space="0" w:color="auto"/>
        <w:left w:val="none" w:sz="0" w:space="0" w:color="auto"/>
        <w:bottom w:val="none" w:sz="0" w:space="0" w:color="auto"/>
        <w:right w:val="none" w:sz="0" w:space="0" w:color="auto"/>
      </w:divBdr>
    </w:div>
    <w:div w:id="356274781">
      <w:bodyDiv w:val="1"/>
      <w:marLeft w:val="0"/>
      <w:marRight w:val="0"/>
      <w:marTop w:val="0"/>
      <w:marBottom w:val="0"/>
      <w:divBdr>
        <w:top w:val="none" w:sz="0" w:space="0" w:color="auto"/>
        <w:left w:val="none" w:sz="0" w:space="0" w:color="auto"/>
        <w:bottom w:val="none" w:sz="0" w:space="0" w:color="auto"/>
        <w:right w:val="none" w:sz="0" w:space="0" w:color="auto"/>
      </w:divBdr>
    </w:div>
    <w:div w:id="389697718">
      <w:bodyDiv w:val="1"/>
      <w:marLeft w:val="0"/>
      <w:marRight w:val="0"/>
      <w:marTop w:val="0"/>
      <w:marBottom w:val="0"/>
      <w:divBdr>
        <w:top w:val="none" w:sz="0" w:space="0" w:color="auto"/>
        <w:left w:val="none" w:sz="0" w:space="0" w:color="auto"/>
        <w:bottom w:val="none" w:sz="0" w:space="0" w:color="auto"/>
        <w:right w:val="none" w:sz="0" w:space="0" w:color="auto"/>
      </w:divBdr>
    </w:div>
    <w:div w:id="405300107">
      <w:bodyDiv w:val="1"/>
      <w:marLeft w:val="0"/>
      <w:marRight w:val="0"/>
      <w:marTop w:val="0"/>
      <w:marBottom w:val="0"/>
      <w:divBdr>
        <w:top w:val="none" w:sz="0" w:space="0" w:color="auto"/>
        <w:left w:val="none" w:sz="0" w:space="0" w:color="auto"/>
        <w:bottom w:val="none" w:sz="0" w:space="0" w:color="auto"/>
        <w:right w:val="none" w:sz="0" w:space="0" w:color="auto"/>
      </w:divBdr>
      <w:divsChild>
        <w:div w:id="29500826">
          <w:marLeft w:val="1267"/>
          <w:marRight w:val="0"/>
          <w:marTop w:val="120"/>
          <w:marBottom w:val="120"/>
          <w:divBdr>
            <w:top w:val="none" w:sz="0" w:space="0" w:color="auto"/>
            <w:left w:val="none" w:sz="0" w:space="0" w:color="auto"/>
            <w:bottom w:val="none" w:sz="0" w:space="0" w:color="auto"/>
            <w:right w:val="none" w:sz="0" w:space="0" w:color="auto"/>
          </w:divBdr>
        </w:div>
        <w:div w:id="109277286">
          <w:marLeft w:val="1267"/>
          <w:marRight w:val="0"/>
          <w:marTop w:val="120"/>
          <w:marBottom w:val="120"/>
          <w:divBdr>
            <w:top w:val="none" w:sz="0" w:space="0" w:color="auto"/>
            <w:left w:val="none" w:sz="0" w:space="0" w:color="auto"/>
            <w:bottom w:val="none" w:sz="0" w:space="0" w:color="auto"/>
            <w:right w:val="none" w:sz="0" w:space="0" w:color="auto"/>
          </w:divBdr>
        </w:div>
        <w:div w:id="486627341">
          <w:marLeft w:val="446"/>
          <w:marRight w:val="0"/>
          <w:marTop w:val="120"/>
          <w:marBottom w:val="120"/>
          <w:divBdr>
            <w:top w:val="none" w:sz="0" w:space="0" w:color="auto"/>
            <w:left w:val="none" w:sz="0" w:space="0" w:color="auto"/>
            <w:bottom w:val="none" w:sz="0" w:space="0" w:color="auto"/>
            <w:right w:val="none" w:sz="0" w:space="0" w:color="auto"/>
          </w:divBdr>
        </w:div>
        <w:div w:id="759569494">
          <w:marLeft w:val="1267"/>
          <w:marRight w:val="0"/>
          <w:marTop w:val="120"/>
          <w:marBottom w:val="120"/>
          <w:divBdr>
            <w:top w:val="none" w:sz="0" w:space="0" w:color="auto"/>
            <w:left w:val="none" w:sz="0" w:space="0" w:color="auto"/>
            <w:bottom w:val="none" w:sz="0" w:space="0" w:color="auto"/>
            <w:right w:val="none" w:sz="0" w:space="0" w:color="auto"/>
          </w:divBdr>
        </w:div>
        <w:div w:id="1213079361">
          <w:marLeft w:val="547"/>
          <w:marRight w:val="0"/>
          <w:marTop w:val="120"/>
          <w:marBottom w:val="120"/>
          <w:divBdr>
            <w:top w:val="none" w:sz="0" w:space="0" w:color="auto"/>
            <w:left w:val="none" w:sz="0" w:space="0" w:color="auto"/>
            <w:bottom w:val="none" w:sz="0" w:space="0" w:color="auto"/>
            <w:right w:val="none" w:sz="0" w:space="0" w:color="auto"/>
          </w:divBdr>
        </w:div>
        <w:div w:id="1408384822">
          <w:marLeft w:val="1267"/>
          <w:marRight w:val="0"/>
          <w:marTop w:val="120"/>
          <w:marBottom w:val="120"/>
          <w:divBdr>
            <w:top w:val="none" w:sz="0" w:space="0" w:color="auto"/>
            <w:left w:val="none" w:sz="0" w:space="0" w:color="auto"/>
            <w:bottom w:val="none" w:sz="0" w:space="0" w:color="auto"/>
            <w:right w:val="none" w:sz="0" w:space="0" w:color="auto"/>
          </w:divBdr>
        </w:div>
        <w:div w:id="1420365703">
          <w:marLeft w:val="446"/>
          <w:marRight w:val="0"/>
          <w:marTop w:val="120"/>
          <w:marBottom w:val="120"/>
          <w:divBdr>
            <w:top w:val="none" w:sz="0" w:space="0" w:color="auto"/>
            <w:left w:val="none" w:sz="0" w:space="0" w:color="auto"/>
            <w:bottom w:val="none" w:sz="0" w:space="0" w:color="auto"/>
            <w:right w:val="none" w:sz="0" w:space="0" w:color="auto"/>
          </w:divBdr>
        </w:div>
        <w:div w:id="1699231707">
          <w:marLeft w:val="1267"/>
          <w:marRight w:val="0"/>
          <w:marTop w:val="120"/>
          <w:marBottom w:val="120"/>
          <w:divBdr>
            <w:top w:val="none" w:sz="0" w:space="0" w:color="auto"/>
            <w:left w:val="none" w:sz="0" w:space="0" w:color="auto"/>
            <w:bottom w:val="none" w:sz="0" w:space="0" w:color="auto"/>
            <w:right w:val="none" w:sz="0" w:space="0" w:color="auto"/>
          </w:divBdr>
        </w:div>
      </w:divsChild>
    </w:div>
    <w:div w:id="409930123">
      <w:bodyDiv w:val="1"/>
      <w:marLeft w:val="0"/>
      <w:marRight w:val="0"/>
      <w:marTop w:val="0"/>
      <w:marBottom w:val="0"/>
      <w:divBdr>
        <w:top w:val="none" w:sz="0" w:space="0" w:color="auto"/>
        <w:left w:val="none" w:sz="0" w:space="0" w:color="auto"/>
        <w:bottom w:val="none" w:sz="0" w:space="0" w:color="auto"/>
        <w:right w:val="none" w:sz="0" w:space="0" w:color="auto"/>
      </w:divBdr>
    </w:div>
    <w:div w:id="504394548">
      <w:bodyDiv w:val="1"/>
      <w:marLeft w:val="0"/>
      <w:marRight w:val="0"/>
      <w:marTop w:val="0"/>
      <w:marBottom w:val="0"/>
      <w:divBdr>
        <w:top w:val="none" w:sz="0" w:space="0" w:color="auto"/>
        <w:left w:val="none" w:sz="0" w:space="0" w:color="auto"/>
        <w:bottom w:val="none" w:sz="0" w:space="0" w:color="auto"/>
        <w:right w:val="none" w:sz="0" w:space="0" w:color="auto"/>
      </w:divBdr>
    </w:div>
    <w:div w:id="542328649">
      <w:bodyDiv w:val="1"/>
      <w:marLeft w:val="0"/>
      <w:marRight w:val="0"/>
      <w:marTop w:val="0"/>
      <w:marBottom w:val="0"/>
      <w:divBdr>
        <w:top w:val="none" w:sz="0" w:space="0" w:color="auto"/>
        <w:left w:val="none" w:sz="0" w:space="0" w:color="auto"/>
        <w:bottom w:val="none" w:sz="0" w:space="0" w:color="auto"/>
        <w:right w:val="none" w:sz="0" w:space="0" w:color="auto"/>
      </w:divBdr>
    </w:div>
    <w:div w:id="586160342">
      <w:bodyDiv w:val="1"/>
      <w:marLeft w:val="0"/>
      <w:marRight w:val="0"/>
      <w:marTop w:val="0"/>
      <w:marBottom w:val="0"/>
      <w:divBdr>
        <w:top w:val="none" w:sz="0" w:space="0" w:color="auto"/>
        <w:left w:val="none" w:sz="0" w:space="0" w:color="auto"/>
        <w:bottom w:val="none" w:sz="0" w:space="0" w:color="auto"/>
        <w:right w:val="none" w:sz="0" w:space="0" w:color="auto"/>
      </w:divBdr>
    </w:div>
    <w:div w:id="604387251">
      <w:bodyDiv w:val="1"/>
      <w:marLeft w:val="0"/>
      <w:marRight w:val="0"/>
      <w:marTop w:val="0"/>
      <w:marBottom w:val="0"/>
      <w:divBdr>
        <w:top w:val="none" w:sz="0" w:space="0" w:color="auto"/>
        <w:left w:val="none" w:sz="0" w:space="0" w:color="auto"/>
        <w:bottom w:val="none" w:sz="0" w:space="0" w:color="auto"/>
        <w:right w:val="none" w:sz="0" w:space="0" w:color="auto"/>
      </w:divBdr>
    </w:div>
    <w:div w:id="617297046">
      <w:bodyDiv w:val="1"/>
      <w:marLeft w:val="0"/>
      <w:marRight w:val="0"/>
      <w:marTop w:val="0"/>
      <w:marBottom w:val="0"/>
      <w:divBdr>
        <w:top w:val="none" w:sz="0" w:space="0" w:color="auto"/>
        <w:left w:val="none" w:sz="0" w:space="0" w:color="auto"/>
        <w:bottom w:val="none" w:sz="0" w:space="0" w:color="auto"/>
        <w:right w:val="none" w:sz="0" w:space="0" w:color="auto"/>
      </w:divBdr>
    </w:div>
    <w:div w:id="642082468">
      <w:bodyDiv w:val="1"/>
      <w:marLeft w:val="0"/>
      <w:marRight w:val="0"/>
      <w:marTop w:val="0"/>
      <w:marBottom w:val="0"/>
      <w:divBdr>
        <w:top w:val="none" w:sz="0" w:space="0" w:color="auto"/>
        <w:left w:val="none" w:sz="0" w:space="0" w:color="auto"/>
        <w:bottom w:val="none" w:sz="0" w:space="0" w:color="auto"/>
        <w:right w:val="none" w:sz="0" w:space="0" w:color="auto"/>
      </w:divBdr>
    </w:div>
    <w:div w:id="646401491">
      <w:bodyDiv w:val="1"/>
      <w:marLeft w:val="0"/>
      <w:marRight w:val="0"/>
      <w:marTop w:val="0"/>
      <w:marBottom w:val="0"/>
      <w:divBdr>
        <w:top w:val="none" w:sz="0" w:space="0" w:color="auto"/>
        <w:left w:val="none" w:sz="0" w:space="0" w:color="auto"/>
        <w:bottom w:val="none" w:sz="0" w:space="0" w:color="auto"/>
        <w:right w:val="none" w:sz="0" w:space="0" w:color="auto"/>
      </w:divBdr>
    </w:div>
    <w:div w:id="649797055">
      <w:bodyDiv w:val="1"/>
      <w:marLeft w:val="0"/>
      <w:marRight w:val="0"/>
      <w:marTop w:val="0"/>
      <w:marBottom w:val="0"/>
      <w:divBdr>
        <w:top w:val="none" w:sz="0" w:space="0" w:color="auto"/>
        <w:left w:val="none" w:sz="0" w:space="0" w:color="auto"/>
        <w:bottom w:val="none" w:sz="0" w:space="0" w:color="auto"/>
        <w:right w:val="none" w:sz="0" w:space="0" w:color="auto"/>
      </w:divBdr>
    </w:div>
    <w:div w:id="688917135">
      <w:bodyDiv w:val="1"/>
      <w:marLeft w:val="0"/>
      <w:marRight w:val="0"/>
      <w:marTop w:val="0"/>
      <w:marBottom w:val="0"/>
      <w:divBdr>
        <w:top w:val="none" w:sz="0" w:space="0" w:color="auto"/>
        <w:left w:val="none" w:sz="0" w:space="0" w:color="auto"/>
        <w:bottom w:val="none" w:sz="0" w:space="0" w:color="auto"/>
        <w:right w:val="none" w:sz="0" w:space="0" w:color="auto"/>
      </w:divBdr>
    </w:div>
    <w:div w:id="704910452">
      <w:bodyDiv w:val="1"/>
      <w:marLeft w:val="0"/>
      <w:marRight w:val="0"/>
      <w:marTop w:val="0"/>
      <w:marBottom w:val="0"/>
      <w:divBdr>
        <w:top w:val="none" w:sz="0" w:space="0" w:color="auto"/>
        <w:left w:val="none" w:sz="0" w:space="0" w:color="auto"/>
        <w:bottom w:val="none" w:sz="0" w:space="0" w:color="auto"/>
        <w:right w:val="none" w:sz="0" w:space="0" w:color="auto"/>
      </w:divBdr>
    </w:div>
    <w:div w:id="850296142">
      <w:bodyDiv w:val="1"/>
      <w:marLeft w:val="0"/>
      <w:marRight w:val="0"/>
      <w:marTop w:val="0"/>
      <w:marBottom w:val="0"/>
      <w:divBdr>
        <w:top w:val="none" w:sz="0" w:space="0" w:color="auto"/>
        <w:left w:val="none" w:sz="0" w:space="0" w:color="auto"/>
        <w:bottom w:val="none" w:sz="0" w:space="0" w:color="auto"/>
        <w:right w:val="none" w:sz="0" w:space="0" w:color="auto"/>
      </w:divBdr>
    </w:div>
    <w:div w:id="941454506">
      <w:bodyDiv w:val="1"/>
      <w:marLeft w:val="0"/>
      <w:marRight w:val="0"/>
      <w:marTop w:val="0"/>
      <w:marBottom w:val="0"/>
      <w:divBdr>
        <w:top w:val="none" w:sz="0" w:space="0" w:color="auto"/>
        <w:left w:val="none" w:sz="0" w:space="0" w:color="auto"/>
        <w:bottom w:val="none" w:sz="0" w:space="0" w:color="auto"/>
        <w:right w:val="none" w:sz="0" w:space="0" w:color="auto"/>
      </w:divBdr>
    </w:div>
    <w:div w:id="973561392">
      <w:bodyDiv w:val="1"/>
      <w:marLeft w:val="0"/>
      <w:marRight w:val="0"/>
      <w:marTop w:val="0"/>
      <w:marBottom w:val="0"/>
      <w:divBdr>
        <w:top w:val="none" w:sz="0" w:space="0" w:color="auto"/>
        <w:left w:val="none" w:sz="0" w:space="0" w:color="auto"/>
        <w:bottom w:val="none" w:sz="0" w:space="0" w:color="auto"/>
        <w:right w:val="none" w:sz="0" w:space="0" w:color="auto"/>
      </w:divBdr>
    </w:div>
    <w:div w:id="977101594">
      <w:bodyDiv w:val="1"/>
      <w:marLeft w:val="0"/>
      <w:marRight w:val="0"/>
      <w:marTop w:val="0"/>
      <w:marBottom w:val="0"/>
      <w:divBdr>
        <w:top w:val="none" w:sz="0" w:space="0" w:color="auto"/>
        <w:left w:val="none" w:sz="0" w:space="0" w:color="auto"/>
        <w:bottom w:val="none" w:sz="0" w:space="0" w:color="auto"/>
        <w:right w:val="none" w:sz="0" w:space="0" w:color="auto"/>
      </w:divBdr>
    </w:div>
    <w:div w:id="996030149">
      <w:bodyDiv w:val="1"/>
      <w:marLeft w:val="0"/>
      <w:marRight w:val="0"/>
      <w:marTop w:val="0"/>
      <w:marBottom w:val="0"/>
      <w:divBdr>
        <w:top w:val="none" w:sz="0" w:space="0" w:color="auto"/>
        <w:left w:val="none" w:sz="0" w:space="0" w:color="auto"/>
        <w:bottom w:val="none" w:sz="0" w:space="0" w:color="auto"/>
        <w:right w:val="none" w:sz="0" w:space="0" w:color="auto"/>
      </w:divBdr>
    </w:div>
    <w:div w:id="1108087361">
      <w:bodyDiv w:val="1"/>
      <w:marLeft w:val="0"/>
      <w:marRight w:val="0"/>
      <w:marTop w:val="0"/>
      <w:marBottom w:val="0"/>
      <w:divBdr>
        <w:top w:val="none" w:sz="0" w:space="0" w:color="auto"/>
        <w:left w:val="none" w:sz="0" w:space="0" w:color="auto"/>
        <w:bottom w:val="none" w:sz="0" w:space="0" w:color="auto"/>
        <w:right w:val="none" w:sz="0" w:space="0" w:color="auto"/>
      </w:divBdr>
    </w:div>
    <w:div w:id="1171336436">
      <w:bodyDiv w:val="1"/>
      <w:marLeft w:val="0"/>
      <w:marRight w:val="0"/>
      <w:marTop w:val="0"/>
      <w:marBottom w:val="0"/>
      <w:divBdr>
        <w:top w:val="none" w:sz="0" w:space="0" w:color="auto"/>
        <w:left w:val="none" w:sz="0" w:space="0" w:color="auto"/>
        <w:bottom w:val="none" w:sz="0" w:space="0" w:color="auto"/>
        <w:right w:val="none" w:sz="0" w:space="0" w:color="auto"/>
      </w:divBdr>
      <w:divsChild>
        <w:div w:id="199245105">
          <w:marLeft w:val="446"/>
          <w:marRight w:val="0"/>
          <w:marTop w:val="120"/>
          <w:marBottom w:val="120"/>
          <w:divBdr>
            <w:top w:val="none" w:sz="0" w:space="0" w:color="auto"/>
            <w:left w:val="none" w:sz="0" w:space="0" w:color="auto"/>
            <w:bottom w:val="none" w:sz="0" w:space="0" w:color="auto"/>
            <w:right w:val="none" w:sz="0" w:space="0" w:color="auto"/>
          </w:divBdr>
        </w:div>
        <w:div w:id="222985341">
          <w:marLeft w:val="446"/>
          <w:marRight w:val="0"/>
          <w:marTop w:val="120"/>
          <w:marBottom w:val="120"/>
          <w:divBdr>
            <w:top w:val="none" w:sz="0" w:space="0" w:color="auto"/>
            <w:left w:val="none" w:sz="0" w:space="0" w:color="auto"/>
            <w:bottom w:val="none" w:sz="0" w:space="0" w:color="auto"/>
            <w:right w:val="none" w:sz="0" w:space="0" w:color="auto"/>
          </w:divBdr>
        </w:div>
        <w:div w:id="1800798917">
          <w:marLeft w:val="446"/>
          <w:marRight w:val="0"/>
          <w:marTop w:val="120"/>
          <w:marBottom w:val="120"/>
          <w:divBdr>
            <w:top w:val="none" w:sz="0" w:space="0" w:color="auto"/>
            <w:left w:val="none" w:sz="0" w:space="0" w:color="auto"/>
            <w:bottom w:val="none" w:sz="0" w:space="0" w:color="auto"/>
            <w:right w:val="none" w:sz="0" w:space="0" w:color="auto"/>
          </w:divBdr>
        </w:div>
      </w:divsChild>
    </w:div>
    <w:div w:id="1221399414">
      <w:bodyDiv w:val="1"/>
      <w:marLeft w:val="0"/>
      <w:marRight w:val="0"/>
      <w:marTop w:val="0"/>
      <w:marBottom w:val="0"/>
      <w:divBdr>
        <w:top w:val="none" w:sz="0" w:space="0" w:color="auto"/>
        <w:left w:val="none" w:sz="0" w:space="0" w:color="auto"/>
        <w:bottom w:val="none" w:sz="0" w:space="0" w:color="auto"/>
        <w:right w:val="none" w:sz="0" w:space="0" w:color="auto"/>
      </w:divBdr>
    </w:div>
    <w:div w:id="1256666976">
      <w:bodyDiv w:val="1"/>
      <w:marLeft w:val="0"/>
      <w:marRight w:val="0"/>
      <w:marTop w:val="0"/>
      <w:marBottom w:val="0"/>
      <w:divBdr>
        <w:top w:val="none" w:sz="0" w:space="0" w:color="auto"/>
        <w:left w:val="none" w:sz="0" w:space="0" w:color="auto"/>
        <w:bottom w:val="none" w:sz="0" w:space="0" w:color="auto"/>
        <w:right w:val="none" w:sz="0" w:space="0" w:color="auto"/>
      </w:divBdr>
    </w:div>
    <w:div w:id="1276136190">
      <w:bodyDiv w:val="1"/>
      <w:marLeft w:val="0"/>
      <w:marRight w:val="0"/>
      <w:marTop w:val="0"/>
      <w:marBottom w:val="0"/>
      <w:divBdr>
        <w:top w:val="none" w:sz="0" w:space="0" w:color="auto"/>
        <w:left w:val="none" w:sz="0" w:space="0" w:color="auto"/>
        <w:bottom w:val="none" w:sz="0" w:space="0" w:color="auto"/>
        <w:right w:val="none" w:sz="0" w:space="0" w:color="auto"/>
      </w:divBdr>
    </w:div>
    <w:div w:id="1337925437">
      <w:bodyDiv w:val="1"/>
      <w:marLeft w:val="0"/>
      <w:marRight w:val="0"/>
      <w:marTop w:val="0"/>
      <w:marBottom w:val="0"/>
      <w:divBdr>
        <w:top w:val="none" w:sz="0" w:space="0" w:color="auto"/>
        <w:left w:val="none" w:sz="0" w:space="0" w:color="auto"/>
        <w:bottom w:val="none" w:sz="0" w:space="0" w:color="auto"/>
        <w:right w:val="none" w:sz="0" w:space="0" w:color="auto"/>
      </w:divBdr>
    </w:div>
    <w:div w:id="1423263854">
      <w:bodyDiv w:val="1"/>
      <w:marLeft w:val="0"/>
      <w:marRight w:val="0"/>
      <w:marTop w:val="0"/>
      <w:marBottom w:val="0"/>
      <w:divBdr>
        <w:top w:val="none" w:sz="0" w:space="0" w:color="auto"/>
        <w:left w:val="none" w:sz="0" w:space="0" w:color="auto"/>
        <w:bottom w:val="none" w:sz="0" w:space="0" w:color="auto"/>
        <w:right w:val="none" w:sz="0" w:space="0" w:color="auto"/>
      </w:divBdr>
    </w:div>
    <w:div w:id="1455128448">
      <w:bodyDiv w:val="1"/>
      <w:marLeft w:val="0"/>
      <w:marRight w:val="0"/>
      <w:marTop w:val="0"/>
      <w:marBottom w:val="0"/>
      <w:divBdr>
        <w:top w:val="none" w:sz="0" w:space="0" w:color="auto"/>
        <w:left w:val="none" w:sz="0" w:space="0" w:color="auto"/>
        <w:bottom w:val="none" w:sz="0" w:space="0" w:color="auto"/>
        <w:right w:val="none" w:sz="0" w:space="0" w:color="auto"/>
      </w:divBdr>
    </w:div>
    <w:div w:id="1479152708">
      <w:bodyDiv w:val="1"/>
      <w:marLeft w:val="0"/>
      <w:marRight w:val="0"/>
      <w:marTop w:val="0"/>
      <w:marBottom w:val="0"/>
      <w:divBdr>
        <w:top w:val="none" w:sz="0" w:space="0" w:color="auto"/>
        <w:left w:val="none" w:sz="0" w:space="0" w:color="auto"/>
        <w:bottom w:val="none" w:sz="0" w:space="0" w:color="auto"/>
        <w:right w:val="none" w:sz="0" w:space="0" w:color="auto"/>
      </w:divBdr>
    </w:div>
    <w:div w:id="1529685895">
      <w:bodyDiv w:val="1"/>
      <w:marLeft w:val="0"/>
      <w:marRight w:val="0"/>
      <w:marTop w:val="0"/>
      <w:marBottom w:val="0"/>
      <w:divBdr>
        <w:top w:val="none" w:sz="0" w:space="0" w:color="auto"/>
        <w:left w:val="none" w:sz="0" w:space="0" w:color="auto"/>
        <w:bottom w:val="none" w:sz="0" w:space="0" w:color="auto"/>
        <w:right w:val="none" w:sz="0" w:space="0" w:color="auto"/>
      </w:divBdr>
    </w:div>
    <w:div w:id="1541282423">
      <w:bodyDiv w:val="1"/>
      <w:marLeft w:val="0"/>
      <w:marRight w:val="0"/>
      <w:marTop w:val="0"/>
      <w:marBottom w:val="0"/>
      <w:divBdr>
        <w:top w:val="none" w:sz="0" w:space="0" w:color="auto"/>
        <w:left w:val="none" w:sz="0" w:space="0" w:color="auto"/>
        <w:bottom w:val="none" w:sz="0" w:space="0" w:color="auto"/>
        <w:right w:val="none" w:sz="0" w:space="0" w:color="auto"/>
      </w:divBdr>
    </w:div>
    <w:div w:id="1704011056">
      <w:bodyDiv w:val="1"/>
      <w:marLeft w:val="0"/>
      <w:marRight w:val="0"/>
      <w:marTop w:val="0"/>
      <w:marBottom w:val="0"/>
      <w:divBdr>
        <w:top w:val="none" w:sz="0" w:space="0" w:color="auto"/>
        <w:left w:val="none" w:sz="0" w:space="0" w:color="auto"/>
        <w:bottom w:val="none" w:sz="0" w:space="0" w:color="auto"/>
        <w:right w:val="none" w:sz="0" w:space="0" w:color="auto"/>
      </w:divBdr>
    </w:div>
    <w:div w:id="2023581640">
      <w:bodyDiv w:val="1"/>
      <w:marLeft w:val="0"/>
      <w:marRight w:val="0"/>
      <w:marTop w:val="0"/>
      <w:marBottom w:val="0"/>
      <w:divBdr>
        <w:top w:val="none" w:sz="0" w:space="0" w:color="auto"/>
        <w:left w:val="none" w:sz="0" w:space="0" w:color="auto"/>
        <w:bottom w:val="none" w:sz="0" w:space="0" w:color="auto"/>
        <w:right w:val="none" w:sz="0" w:space="0" w:color="auto"/>
      </w:divBdr>
    </w:div>
    <w:div w:id="205946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iru.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siru.com.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B489-266F-478B-A252-58A79789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7922</Words>
  <Characters>42782</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Reis</dc:creator>
  <cp:lastModifiedBy>Luciana Mattosinho</cp:lastModifiedBy>
  <cp:revision>2</cp:revision>
  <cp:lastPrinted>2015-11-16T16:31:00Z</cp:lastPrinted>
  <dcterms:created xsi:type="dcterms:W3CDTF">2016-11-23T16:08:00Z</dcterms:created>
  <dcterms:modified xsi:type="dcterms:W3CDTF">2016-11-23T16:08:00Z</dcterms:modified>
</cp:coreProperties>
</file>