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233"/>
        <w:gridCol w:w="2719"/>
        <w:gridCol w:w="618"/>
        <w:gridCol w:w="286"/>
        <w:gridCol w:w="146"/>
        <w:gridCol w:w="3709"/>
      </w:tblGrid>
      <w:tr w:rsidR="00000000">
        <w:trPr>
          <w:trHeight w:val="1690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E051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INSTITUTO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04/2016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10/02/2016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0517C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132.736,06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E0517C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I, Alínea " b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E0517C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Aplicação no fundo IDKA 2 foi para realocação dos investimentos devido ao cenário econômico para </w:t>
            </w:r>
            <w:r>
              <w:rPr>
                <w:rFonts w:ascii="Arial" w:hAnsi="Arial" w:cs="Arial"/>
                <w:sz w:val="18"/>
                <w:szCs w:val="18"/>
              </w:rPr>
              <w:t>2016, afim de atingir a meta atuarial e melhorar a rentabilidade.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2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IDKA IPCA 2A TÍTULOS PÚBLICOS FI RENDA FIXA LP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E0517C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14.386.926/0001-71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E0517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IDKA IPCA 2 Anos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2,87 no mês 01/2016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 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2.602.621.726,95 em 29/01/2016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E0517C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16/08/2012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1,454529 em 29/01/2016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E0517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0517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0517C" w:rsidRDefault="00E0517C">
      <w:pPr>
        <w:rPr>
          <w:rFonts w:ascii="Arial" w:hAnsi="Arial" w:cs="Arial"/>
          <w:sz w:val="18"/>
          <w:szCs w:val="18"/>
        </w:rPr>
      </w:pPr>
    </w:p>
    <w:sectPr w:rsidR="00E0517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attachedTemplate r:id="rId1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5795B"/>
    <w:rsid w:val="00A5795B"/>
    <w:rsid w:val="00E0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dcterms:created xsi:type="dcterms:W3CDTF">2016-02-17T15:07:00Z</dcterms:created>
  <dcterms:modified xsi:type="dcterms:W3CDTF">2016-02-17T15:07:00Z</dcterms:modified>
</cp:coreProperties>
</file>